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推荐性电子行业标准项目</w:t>
      </w:r>
      <w:r>
        <w:rPr>
          <w:rFonts w:hint="eastAsia" w:ascii="黑体" w:hAnsi="宋体" w:eastAsia="黑体"/>
          <w:sz w:val="32"/>
          <w:szCs w:val="32"/>
          <w:lang w:eastAsia="zh-CN"/>
        </w:rPr>
        <w:t>《低碳产品评价技术规范 光伏组件》</w:t>
      </w:r>
      <w:r>
        <w:rPr>
          <w:rFonts w:hint="eastAsia" w:ascii="黑体" w:hAnsi="宋体" w:eastAsia="黑体"/>
          <w:sz w:val="32"/>
          <w:szCs w:val="32"/>
        </w:rPr>
        <w:t>（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征求意见稿</w:t>
      </w:r>
      <w:r>
        <w:rPr>
          <w:rFonts w:hint="eastAsia" w:ascii="黑体" w:hAnsi="宋体" w:eastAsia="黑体"/>
          <w:sz w:val="32"/>
          <w:szCs w:val="32"/>
        </w:rPr>
        <w:t>）编制说明</w:t>
      </w:r>
    </w:p>
    <w:p>
      <w:pPr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2" w:firstLineChars="200"/>
        <w:textAlignment w:val="auto"/>
        <w:outlineLvl w:val="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一、工作简况</w:t>
      </w:r>
    </w:p>
    <w:p>
      <w:pPr>
        <w:pStyle w:val="9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1、任务来源</w:t>
      </w:r>
    </w:p>
    <w:p>
      <w:pPr>
        <w:pStyle w:val="3"/>
        <w:spacing w:before="0" w:beforeAutospacing="0" w:after="0" w:afterAutospacing="0" w:line="360" w:lineRule="auto"/>
        <w:ind w:firstLine="484" w:firstLineChars="202"/>
        <w:textAlignment w:val="baseline"/>
        <w:rPr>
          <w:rFonts w:hint="eastAsia" w:ascii="Times New Roman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Calibri" w:eastAsia="宋体" w:cs="Times New Roman"/>
          <w:kern w:val="2"/>
          <w:sz w:val="24"/>
          <w:szCs w:val="24"/>
          <w:lang w:val="en-US" w:eastAsia="zh-CN" w:bidi="ar-SA"/>
        </w:rPr>
        <w:t>为发挥标准在推进工业领域碳达峰碳中和工作的引领和规范作用，工业和信息化部于2021年12月2日发布《工业和信息化部办公厅关于印发2021年碳达峰碳中和专项行业标准制修订项目计划的通知》</w:t>
      </w:r>
      <w:r>
        <w:rPr>
          <w:rFonts w:hint="eastAsia" w:ascii="Times New Roman" w:hAnsi="Calibri" w:cs="Times New Roman"/>
          <w:kern w:val="2"/>
          <w:sz w:val="24"/>
          <w:szCs w:val="24"/>
          <w:lang w:val="en-US" w:eastAsia="zh-CN" w:bidi="ar-SA"/>
        </w:rPr>
        <w:t>（工信厅科函〔2021〕291号）</w:t>
      </w:r>
      <w:r>
        <w:rPr>
          <w:rFonts w:hint="eastAsia" w:ascii="Times New Roman" w:hAnsi="Calibri" w:eastAsia="宋体" w:cs="Times New Roman"/>
          <w:kern w:val="2"/>
          <w:sz w:val="24"/>
          <w:szCs w:val="24"/>
          <w:lang w:val="en-US" w:eastAsia="zh-CN" w:bidi="ar-SA"/>
        </w:rPr>
        <w:t>，</w:t>
      </w:r>
      <w:r>
        <w:rPr>
          <w:rFonts w:hint="eastAsia" w:ascii="Times New Roman" w:hAnsi="Calibri" w:cs="Times New Roman"/>
          <w:kern w:val="2"/>
          <w:sz w:val="24"/>
          <w:szCs w:val="24"/>
          <w:lang w:val="en-US" w:eastAsia="zh-CN" w:bidi="ar-SA"/>
        </w:rPr>
        <w:t>《低碳产品评价技术规范 光伏组件》由中国电子技术标准化研究院归口管理与起草</w:t>
      </w:r>
      <w:r>
        <w:rPr>
          <w:rFonts w:hint="eastAsia" w:ascii="Times New Roman" w:hAnsi="Calibri" w:eastAsia="宋体" w:cs="Times New Roman"/>
          <w:kern w:val="2"/>
          <w:sz w:val="24"/>
          <w:szCs w:val="24"/>
          <w:lang w:val="en-US" w:eastAsia="zh-CN" w:bidi="ar-SA"/>
        </w:rPr>
        <w:t>，项目编号：2021-18</w:t>
      </w:r>
      <w:r>
        <w:rPr>
          <w:rFonts w:hint="eastAsia" w:ascii="Times New Roman" w:hAnsi="Calibri" w:cs="Times New Roman"/>
          <w:kern w:val="2"/>
          <w:sz w:val="24"/>
          <w:szCs w:val="24"/>
          <w:lang w:val="en-US" w:eastAsia="zh-CN" w:bidi="ar-SA"/>
        </w:rPr>
        <w:t>12</w:t>
      </w:r>
      <w:r>
        <w:rPr>
          <w:rFonts w:hint="eastAsia" w:ascii="Times New Roman" w:hAnsi="Calibri" w:eastAsia="宋体" w:cs="Times New Roman"/>
          <w:kern w:val="2"/>
          <w:sz w:val="24"/>
          <w:szCs w:val="24"/>
          <w:lang w:val="en-US" w:eastAsia="zh-CN" w:bidi="ar-SA"/>
        </w:rPr>
        <w:t>T-SJ。</w:t>
      </w:r>
    </w:p>
    <w:p>
      <w:pPr>
        <w:pStyle w:val="9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adjustRightInd/>
        <w:snapToGrid/>
        <w:spacing w:line="360" w:lineRule="auto"/>
        <w:ind w:firstLine="482" w:firstLineChars="200"/>
        <w:textAlignment w:val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>2</w:t>
      </w:r>
      <w:r>
        <w:rPr>
          <w:rFonts w:hint="eastAsia"/>
          <w:b/>
          <w:sz w:val="24"/>
          <w:szCs w:val="24"/>
        </w:rPr>
        <w:t>、编制过程</w:t>
      </w:r>
    </w:p>
    <w:p>
      <w:pPr>
        <w:pStyle w:val="9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/>
          <w:sz w:val="24"/>
          <w:lang w:eastAsia="zh-CN"/>
        </w:rPr>
      </w:pPr>
      <w:r>
        <w:rPr>
          <w:rFonts w:hint="eastAsia" w:ascii="Times New Roman" w:hAnsi="Calibri" w:eastAsia="宋体" w:cs="Times New Roman"/>
          <w:kern w:val="2"/>
          <w:sz w:val="24"/>
          <w:szCs w:val="24"/>
          <w:lang w:val="en-US" w:eastAsia="zh-CN" w:bidi="ar-SA"/>
        </w:rPr>
        <w:t>2021年12月2日</w:t>
      </w:r>
      <w:r>
        <w:rPr>
          <w:rFonts w:hint="eastAsia" w:ascii="Times New Roman" w:hAnsi="Calibri" w:cs="Times New Roman"/>
          <w:kern w:val="2"/>
          <w:sz w:val="24"/>
          <w:szCs w:val="24"/>
          <w:lang w:val="en-US" w:eastAsia="zh-CN" w:bidi="ar-SA"/>
        </w:rPr>
        <w:t>，</w:t>
      </w:r>
      <w:r>
        <w:rPr>
          <w:rFonts w:hint="eastAsia" w:ascii="Times New Roman" w:hAnsi="Calibri" w:eastAsia="宋体" w:cs="Times New Roman"/>
          <w:kern w:val="2"/>
          <w:sz w:val="24"/>
          <w:szCs w:val="24"/>
          <w:lang w:val="en-US" w:eastAsia="zh-CN" w:bidi="ar-SA"/>
        </w:rPr>
        <w:t>工业和信息化部发布《工业和信息化部办公厅关于印发2021年碳达峰碳中和专项行业标准制修订项目计划的通知》</w:t>
      </w:r>
      <w:r>
        <w:rPr>
          <w:rFonts w:hint="eastAsia" w:ascii="Times New Roman" w:hAnsi="Calibri" w:cs="Times New Roman"/>
          <w:kern w:val="2"/>
          <w:sz w:val="24"/>
          <w:szCs w:val="24"/>
          <w:lang w:val="en-US" w:eastAsia="zh-CN" w:bidi="ar-SA"/>
        </w:rPr>
        <w:t>（工信厅科函〔2021〕291号），《低碳产品评价技术规范 光伏组件》</w:t>
      </w:r>
      <w:r>
        <w:rPr>
          <w:rFonts w:hint="eastAsia" w:ascii="Times New Roman"/>
          <w:sz w:val="24"/>
          <w:lang w:eastAsia="zh-CN"/>
        </w:rPr>
        <w:t>正式立项。</w:t>
      </w:r>
    </w:p>
    <w:p>
      <w:pPr>
        <w:pStyle w:val="9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/>
          <w:sz w:val="24"/>
          <w:lang w:val="en-US" w:eastAsia="zh-CN"/>
        </w:rPr>
      </w:pPr>
      <w:r>
        <w:rPr>
          <w:rFonts w:hint="eastAsia" w:ascii="Times New Roman"/>
          <w:sz w:val="24"/>
          <w:lang w:val="en-US" w:eastAsia="zh-CN"/>
        </w:rPr>
        <w:t>2022年1月6日，电子标准院绿色发展研究中心发布《电子标准院关于征集工信部2021年碳达峰碳中和专项行业标准《低碳产品评价技术规范 光伏组件》等3项电子行业标准编制组成员的通知》</w:t>
      </w:r>
      <w:r>
        <w:rPr>
          <w:rFonts w:hint="eastAsia" w:ascii="Times New Roman" w:hAnsi="Calibri" w:cs="Times New Roman"/>
          <w:kern w:val="2"/>
          <w:sz w:val="24"/>
          <w:szCs w:val="24"/>
          <w:lang w:val="en-US" w:eastAsia="zh-CN" w:bidi="ar-SA"/>
        </w:rPr>
        <w:t>（电标绿发函〔2022〕4号），公开征集参编单位。</w:t>
      </w:r>
    </w:p>
    <w:p>
      <w:pPr>
        <w:ind w:firstLine="420" w:firstLineChars="0"/>
        <w:rPr>
          <w:rFonts w:hint="default"/>
          <w:lang w:val="en-US"/>
        </w:rPr>
      </w:pPr>
      <w:r>
        <w:rPr>
          <w:rFonts w:hint="eastAsia" w:ascii="Times New Roman" w:hAnsi="Calibri" w:cs="Times New Roman"/>
          <w:kern w:val="2"/>
          <w:sz w:val="24"/>
          <w:szCs w:val="24"/>
          <w:lang w:val="en-US" w:eastAsia="zh-CN" w:bidi="ar-SA"/>
        </w:rPr>
        <w:t>2022年</w:t>
      </w:r>
      <w:r>
        <w:rPr>
          <w:rFonts w:hint="eastAsia" w:hAnsi="Calibri" w:cs="Times New Roman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Times New Roman" w:hAnsi="Calibri" w:cs="Times New Roman"/>
          <w:kern w:val="2"/>
          <w:sz w:val="24"/>
          <w:szCs w:val="24"/>
          <w:lang w:val="en-US" w:eastAsia="zh-CN" w:bidi="ar-SA"/>
        </w:rPr>
        <w:t>月</w:t>
      </w:r>
      <w:r>
        <w:rPr>
          <w:rFonts w:hint="eastAsia" w:hAnsi="Calibri" w:cs="Times New Roman"/>
          <w:kern w:val="2"/>
          <w:sz w:val="24"/>
          <w:szCs w:val="24"/>
          <w:lang w:val="en-US" w:eastAsia="zh-CN" w:bidi="ar-SA"/>
        </w:rPr>
        <w:t>24</w:t>
      </w:r>
      <w:r>
        <w:rPr>
          <w:rFonts w:hint="eastAsia" w:ascii="Times New Roman" w:hAnsi="Calibri" w:cs="Times New Roman"/>
          <w:kern w:val="2"/>
          <w:sz w:val="24"/>
          <w:szCs w:val="24"/>
          <w:lang w:val="en-US" w:eastAsia="zh-CN" w:bidi="ar-SA"/>
        </w:rPr>
        <w:t>日形成标准草案</w:t>
      </w:r>
      <w:r>
        <w:rPr>
          <w:rFonts w:hint="eastAsia" w:hAnsi="Calibri" w:cs="Times New Roman"/>
          <w:kern w:val="2"/>
          <w:sz w:val="24"/>
          <w:szCs w:val="24"/>
          <w:lang w:val="en-US" w:eastAsia="zh-CN" w:bidi="ar-SA"/>
        </w:rPr>
        <w:t>，召开标准启动会，根据会上专家意见修改形成征求意见稿。</w:t>
      </w:r>
    </w:p>
    <w:p>
      <w:pPr>
        <w:pStyle w:val="3"/>
        <w:spacing w:before="0" w:beforeAutospacing="0" w:after="0" w:afterAutospacing="0" w:line="360" w:lineRule="auto"/>
        <w:ind w:firstLine="484" w:firstLineChars="202"/>
        <w:textAlignment w:val="baseline"/>
        <w:rPr>
          <w:rFonts w:hint="eastAsia" w:ascii="Times New Roman" w:hAnsi="Calibri" w:eastAsia="宋体" w:cs="Times New Roman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2" w:firstLineChars="200"/>
        <w:textAlignment w:val="auto"/>
        <w:outlineLvl w:val="0"/>
        <w:rPr>
          <w:rFonts w:hint="eastAsia" w:ascii="宋体" w:hAnsi="宋体" w:eastAsia="宋体" w:cs="Times New Roman"/>
          <w:b/>
          <w:bCs/>
          <w:sz w:val="24"/>
        </w:rPr>
      </w:pPr>
      <w:r>
        <w:rPr>
          <w:rFonts w:hint="eastAsia" w:ascii="宋体" w:hAnsi="宋体" w:eastAsia="宋体" w:cs="Times New Roman"/>
          <w:b/>
          <w:bCs/>
          <w:sz w:val="24"/>
        </w:rPr>
        <w:t>二、标准编制原则和主要内容的论据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Calibri" w:eastAsia="宋体" w:cs="Times New Roman"/>
          <w:kern w:val="2"/>
          <w:sz w:val="24"/>
          <w:szCs w:val="24"/>
          <w:lang w:val="en-US" w:eastAsia="zh-CN" w:bidi="ar-SA"/>
        </w:rPr>
        <w:t>内容包括：标准编制原则和确定标准主要技术内容的论据（包括技术质保、参数、公式、性能要求、试验方法、检验规则等），解决的主要问题。修订标准的应当提出标准技术内容的主要差异、水平对比，变化依据和理由。</w:t>
      </w:r>
    </w:p>
    <w:p>
      <w:pPr>
        <w:pStyle w:val="9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1、编制原则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9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after="0" w:line="360" w:lineRule="auto"/>
        <w:ind w:left="136" w:leftChars="0" w:right="703" w:rightChars="0" w:firstLine="480" w:firstLineChars="200"/>
        <w:jc w:val="left"/>
        <w:textAlignment w:val="auto"/>
        <w:rPr>
          <w:rFonts w:hint="eastAsia" w:ascii="Times New Roman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Calibri" w:eastAsia="宋体" w:cs="Times New Roman"/>
          <w:kern w:val="2"/>
          <w:sz w:val="24"/>
          <w:szCs w:val="24"/>
          <w:lang w:val="en-US" w:eastAsia="zh-CN" w:bidi="ar-SA"/>
        </w:rPr>
        <w:t>本文件按照 GB/T1.1-2020《标准化工作导则第一部分：标准的结构和编写规则》的要求编写</w:t>
      </w:r>
      <w:r>
        <w:rPr>
          <w:rFonts w:hint="eastAsia" w:ascii="Times New Roman" w:hAnsi="Calibri" w:cs="Times New Roman"/>
          <w:kern w:val="2"/>
          <w:sz w:val="24"/>
          <w:szCs w:val="24"/>
          <w:lang w:val="en-US" w:eastAsia="zh-CN" w:bidi="ar-SA"/>
        </w:rPr>
        <w:t>，并以科学性、统一性、实用性为原则。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9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after="0" w:line="360" w:lineRule="auto"/>
        <w:ind w:left="136" w:leftChars="0" w:right="703" w:rightChars="0" w:firstLine="480" w:firstLineChars="200"/>
        <w:jc w:val="left"/>
        <w:textAlignment w:val="auto"/>
        <w:rPr>
          <w:rFonts w:hint="eastAsia" w:ascii="Times New Roman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Calibri" w:eastAsia="宋体" w:cs="Times New Roman"/>
          <w:kern w:val="2"/>
          <w:sz w:val="24"/>
          <w:szCs w:val="24"/>
          <w:lang w:val="en-US" w:eastAsia="zh-CN" w:bidi="ar-SA"/>
        </w:rPr>
        <w:t>1、科学性。本规范按照生命周期理念,系统考虑了</w:t>
      </w:r>
      <w:r>
        <w:rPr>
          <w:rFonts w:hint="eastAsia" w:ascii="Times New Roman" w:hAnsi="Calibri" w:cs="Times New Roman"/>
          <w:kern w:val="2"/>
          <w:sz w:val="24"/>
          <w:szCs w:val="24"/>
          <w:lang w:val="en-US" w:eastAsia="zh-CN" w:bidi="ar-SA"/>
        </w:rPr>
        <w:t>光伏组件</w:t>
      </w:r>
      <w:r>
        <w:rPr>
          <w:rFonts w:hint="eastAsia" w:ascii="Times New Roman" w:hAnsi="Calibri" w:eastAsia="宋体" w:cs="Times New Roman"/>
          <w:kern w:val="2"/>
          <w:sz w:val="24"/>
          <w:szCs w:val="24"/>
          <w:lang w:val="en-US" w:eastAsia="zh-CN" w:bidi="ar-SA"/>
        </w:rPr>
        <w:t>产品全生命周期阶段碳排放的评价原则。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9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after="0" w:line="360" w:lineRule="auto"/>
        <w:ind w:left="136" w:leftChars="0" w:right="703" w:rightChars="0" w:firstLine="480" w:firstLineChars="200"/>
        <w:jc w:val="left"/>
        <w:textAlignment w:val="auto"/>
        <w:rPr>
          <w:rFonts w:hint="eastAsia" w:ascii="Times New Roman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Calibri" w:eastAsia="宋体" w:cs="Times New Roman"/>
          <w:kern w:val="2"/>
          <w:sz w:val="24"/>
          <w:szCs w:val="24"/>
          <w:lang w:val="en-US" w:eastAsia="zh-CN" w:bidi="ar-SA"/>
        </w:rPr>
        <w:t>2、统一性。在编制本规范时,充分参考了国际、国内相关碳排放评价标准,与国际标准在要求上是统一的。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9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after="0" w:line="360" w:lineRule="auto"/>
        <w:ind w:left="136" w:leftChars="0" w:right="703" w:rightChars="0" w:firstLine="480" w:firstLineChars="200"/>
        <w:jc w:val="left"/>
        <w:textAlignment w:val="auto"/>
        <w:rPr>
          <w:rFonts w:hint="eastAsia" w:ascii="Times New Roman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Calibri" w:eastAsia="宋体" w:cs="Times New Roman"/>
          <w:kern w:val="2"/>
          <w:sz w:val="24"/>
          <w:szCs w:val="24"/>
          <w:lang w:val="en-US" w:eastAsia="zh-CN" w:bidi="ar-SA"/>
        </w:rPr>
        <w:t>3、实用性。为不同产品碳排放评价规则制定需要遵循的共同原则,为碳标签及低碳产品评价提供技术支持。充分考虑我国</w:t>
      </w:r>
      <w:r>
        <w:rPr>
          <w:rFonts w:hint="eastAsia" w:ascii="Times New Roman" w:hAnsi="Calibri" w:cs="Times New Roman"/>
          <w:kern w:val="2"/>
          <w:sz w:val="24"/>
          <w:szCs w:val="24"/>
          <w:lang w:val="en-US" w:eastAsia="zh-CN" w:bidi="ar-SA"/>
        </w:rPr>
        <w:t>光伏组件</w:t>
      </w:r>
      <w:r>
        <w:rPr>
          <w:rFonts w:hint="eastAsia" w:ascii="Times New Roman" w:hAnsi="Calibri" w:eastAsia="宋体" w:cs="Times New Roman"/>
          <w:kern w:val="2"/>
          <w:sz w:val="24"/>
          <w:szCs w:val="24"/>
          <w:lang w:val="en-US" w:eastAsia="zh-CN" w:bidi="ar-SA"/>
        </w:rPr>
        <w:t>生产企业的技术发展水平和能耗统计现状、数据提供能力。</w:t>
      </w:r>
    </w:p>
    <w:p>
      <w:pPr>
        <w:pStyle w:val="9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adjustRightInd/>
        <w:snapToGrid/>
        <w:spacing w:line="360" w:lineRule="auto"/>
        <w:ind w:firstLine="482" w:firstLineChars="200"/>
        <w:textAlignment w:val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2、确定主要内容的论据及解决的主要问题</w:t>
      </w:r>
    </w:p>
    <w:p>
      <w:pPr>
        <w:autoSpaceDE w:val="0"/>
        <w:autoSpaceDN w:val="0"/>
        <w:ind w:firstLine="480" w:firstLineChars="200"/>
        <w:jc w:val="both"/>
        <w:rPr>
          <w:rFonts w:hint="eastAsia" w:ascii="宋体" w:hAnsi="Times New Roman" w:eastAsia="宋体" w:cs="Times New Roman"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Times New Roman" w:eastAsia="宋体" w:cs="Times New Roman"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基于当前国内外主要的碳排放核算软件Simapro中的Ecoinvent数据库，选择与组件产品碳排放相关的主要过程（产品生产及运输）碳排放数据作为缺省值，便于企业估算产品碳排放，见表1、表3。电力排放因子根据生态环境部公布的近年来全国电网平均排放因子，作为缺省值。</w:t>
      </w:r>
    </w:p>
    <w:p>
      <w:pPr>
        <w:autoSpaceDE w:val="0"/>
        <w:autoSpaceDN w:val="0"/>
        <w:ind w:firstLine="482" w:firstLineChars="200"/>
        <w:jc w:val="both"/>
        <w:rPr>
          <w:rFonts w:hint="eastAsia" w:ascii="宋体" w:hAnsi="宋体" w:eastAsia="宋体" w:cs="宋体"/>
          <w:color w:val="000000"/>
          <w:kern w:val="21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宋体" w:hAnsi="Times New Roman" w:eastAsia="宋体" w:cs="Times New Roman"/>
          <w:b/>
          <w:bCs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光伏电池：</w:t>
      </w:r>
      <w:r>
        <w:rPr>
          <w:rFonts w:hint="eastAsia" w:ascii="宋体" w:hAnsi="Times New Roman" w:eastAsia="宋体" w:cs="Times New Roman"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数据库中光伏电池的生产数据描述为厚度270μm～300μm</w:t>
      </w:r>
      <w:r>
        <w:rPr>
          <w:rFonts w:hint="eastAsia" w:ascii="宋体" w:cs="Times New Roman"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。由于硅片的碳排放占电池片碳排放的比例在90%左右，且电池片的功能单位为千克二氧化碳当量每平米，因此电池片的碳排放可近似为厚度进行折算。</w:t>
      </w:r>
      <w:r>
        <w:rPr>
          <w:rFonts w:hint="eastAsia" w:ascii="宋体" w:hAnsi="Times New Roman" w:eastAsia="宋体" w:cs="Times New Roman"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按数据库电池厚度为285μm，</w:t>
      </w:r>
      <w:r>
        <w:rPr>
          <w:rFonts w:hint="eastAsia" w:ascii="宋体" w:cs="Times New Roman"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perc电池片厚度为180μm，</w:t>
      </w:r>
      <w:r>
        <w:rPr>
          <w:rFonts w:hint="eastAsia" w:ascii="宋体" w:hAnsi="Times New Roman" w:eastAsia="宋体" w:cs="Times New Roman"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缺省值</w:t>
      </w:r>
      <w:r>
        <w:rPr>
          <w:rFonts w:hint="eastAsia" w:ascii="宋体" w:cs="Times New Roman"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宋体" w:hAnsi="Times New Roman" w:eastAsia="宋体" w:cs="Times New Roman"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折算为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149.05</w:t>
      </w:r>
      <w:r>
        <w:rPr>
          <w:rFonts w:hint="eastAsia" w:ascii="宋体" w:hAnsi="宋体" w:eastAsia="宋体" w:cs="宋体"/>
          <w:color w:val="000000"/>
          <w:kern w:val="21"/>
          <w:sz w:val="24"/>
          <w:szCs w:val="24"/>
          <w:lang w:val="en-US" w:eastAsia="zh-CN" w:bidi="ar-SA"/>
        </w:rPr>
        <w:t>kgCO</w:t>
      </w:r>
      <w:r>
        <w:rPr>
          <w:rFonts w:hint="eastAsia" w:ascii="宋体" w:hAnsi="宋体" w:eastAsia="宋体" w:cs="宋体"/>
          <w:color w:val="000000"/>
          <w:kern w:val="21"/>
          <w:sz w:val="24"/>
          <w:szCs w:val="24"/>
          <w:vertAlign w:val="subscript"/>
          <w:lang w:val="en-US" w:eastAsia="zh-CN" w:bidi="ar-SA"/>
        </w:rPr>
        <w:t>2</w:t>
      </w:r>
      <w:r>
        <w:rPr>
          <w:rFonts w:hint="eastAsia" w:ascii="宋体" w:hAnsi="宋体" w:eastAsia="宋体" w:cs="宋体"/>
          <w:color w:val="000000"/>
          <w:kern w:val="21"/>
          <w:sz w:val="24"/>
          <w:szCs w:val="24"/>
          <w:lang w:val="en-US" w:eastAsia="zh-CN" w:bidi="ar-SA"/>
        </w:rPr>
        <w:t>e/m</w:t>
      </w:r>
      <w:r>
        <w:rPr>
          <w:rFonts w:hint="eastAsia" w:ascii="宋体" w:hAnsi="宋体" w:eastAsia="宋体" w:cs="宋体"/>
          <w:color w:val="000000"/>
          <w:kern w:val="21"/>
          <w:sz w:val="24"/>
          <w:szCs w:val="24"/>
          <w:vertAlign w:val="superscript"/>
          <w:lang w:val="en-US" w:eastAsia="zh-CN" w:bidi="ar-SA"/>
        </w:rPr>
        <w:t>2</w:t>
      </w:r>
      <w:r>
        <w:rPr>
          <w:rFonts w:hint="eastAsia" w:ascii="宋体" w:hAnsi="宋体" w:eastAsia="宋体" w:cs="宋体"/>
          <w:color w:val="000000"/>
          <w:kern w:val="21"/>
          <w:sz w:val="24"/>
          <w:szCs w:val="24"/>
          <w:vertAlign w:val="baseline"/>
          <w:lang w:val="en-US" w:eastAsia="zh-CN" w:bidi="ar-SA"/>
        </w:rPr>
        <w:t>。</w:t>
      </w:r>
    </w:p>
    <w:p>
      <w:pPr>
        <w:autoSpaceDE w:val="0"/>
        <w:autoSpaceDN w:val="0"/>
        <w:ind w:firstLine="482" w:firstLineChars="200"/>
        <w:jc w:val="both"/>
        <w:rPr>
          <w:rFonts w:hint="default" w:ascii="宋体" w:hAnsi="宋体" w:eastAsia="宋体" w:cs="宋体"/>
          <w:color w:val="000000"/>
          <w:kern w:val="21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21"/>
          <w:sz w:val="24"/>
          <w:szCs w:val="24"/>
          <w:vertAlign w:val="baseline"/>
          <w:lang w:val="en-US" w:eastAsia="zh-CN" w:bidi="ar-SA"/>
        </w:rPr>
        <w:t>封装玻璃：</w:t>
      </w:r>
      <w:r>
        <w:rPr>
          <w:rFonts w:hint="eastAsia" w:ascii="宋体" w:hAnsi="宋体" w:eastAsia="宋体" w:cs="宋体"/>
          <w:color w:val="000000"/>
          <w:kern w:val="21"/>
          <w:sz w:val="24"/>
          <w:szCs w:val="24"/>
          <w:vertAlign w:val="baseline"/>
          <w:lang w:val="en-US" w:eastAsia="zh-CN" w:bidi="ar-SA"/>
        </w:rPr>
        <w:t>采用数据库中光伏玻璃的数据作为缺省值。</w:t>
      </w:r>
    </w:p>
    <w:p>
      <w:pPr>
        <w:autoSpaceDE w:val="0"/>
        <w:autoSpaceDN w:val="0"/>
        <w:ind w:firstLine="482" w:firstLineChars="200"/>
        <w:jc w:val="both"/>
        <w:rPr>
          <w:rFonts w:hint="eastAsia" w:ascii="宋体" w:hAnsi="宋体" w:eastAsia="宋体" w:cs="宋体"/>
          <w:color w:val="000000"/>
          <w:kern w:val="21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21"/>
          <w:sz w:val="24"/>
          <w:szCs w:val="24"/>
          <w:vertAlign w:val="baseline"/>
          <w:lang w:val="en-US" w:eastAsia="zh-CN" w:bidi="ar-SA"/>
        </w:rPr>
        <w:t>铝边框：</w:t>
      </w:r>
      <w:r>
        <w:rPr>
          <w:rFonts w:hint="eastAsia" w:ascii="宋体" w:hAnsi="宋体" w:eastAsia="宋体" w:cs="宋体"/>
          <w:color w:val="000000"/>
          <w:kern w:val="21"/>
          <w:sz w:val="24"/>
          <w:szCs w:val="24"/>
          <w:vertAlign w:val="baseline"/>
          <w:lang w:val="en-US" w:eastAsia="zh-CN" w:bidi="ar-SA"/>
        </w:rPr>
        <w:t>数据库中尚无光伏组件用铝边框数据，根据国内某企业实际生产数据调研，得到采用原生铝生产铝边框碳排放为17.4kgCO</w:t>
      </w:r>
      <w:r>
        <w:rPr>
          <w:rFonts w:hint="eastAsia" w:ascii="宋体" w:hAnsi="宋体" w:eastAsia="宋体" w:cs="宋体"/>
          <w:color w:val="000000"/>
          <w:kern w:val="21"/>
          <w:sz w:val="24"/>
          <w:szCs w:val="24"/>
          <w:vertAlign w:val="subscript"/>
          <w:lang w:val="en-US" w:eastAsia="zh-CN" w:bidi="ar-SA"/>
        </w:rPr>
        <w:t>2</w:t>
      </w:r>
      <w:r>
        <w:rPr>
          <w:rFonts w:hint="eastAsia" w:ascii="宋体" w:hAnsi="宋体" w:eastAsia="宋体" w:cs="宋体"/>
          <w:color w:val="000000"/>
          <w:kern w:val="21"/>
          <w:sz w:val="24"/>
          <w:szCs w:val="24"/>
          <w:vertAlign w:val="baseline"/>
          <w:lang w:val="en-US" w:eastAsia="zh-CN" w:bidi="ar-SA"/>
        </w:rPr>
        <w:t>e/kg。</w:t>
      </w:r>
    </w:p>
    <w:p>
      <w:pPr>
        <w:autoSpaceDE w:val="0"/>
        <w:autoSpaceDN w:val="0"/>
        <w:ind w:firstLine="482" w:firstLineChars="200"/>
        <w:jc w:val="both"/>
        <w:rPr>
          <w:rFonts w:hint="default" w:ascii="宋体" w:hAnsi="宋体" w:eastAsia="宋体" w:cs="宋体"/>
          <w:color w:val="000000"/>
          <w:kern w:val="21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21"/>
          <w:sz w:val="24"/>
          <w:szCs w:val="24"/>
          <w:vertAlign w:val="baseline"/>
          <w:lang w:val="en-US" w:eastAsia="zh-CN" w:bidi="ar-SA"/>
        </w:rPr>
        <w:t>背板：</w:t>
      </w:r>
      <w:r>
        <w:rPr>
          <w:rFonts w:hint="eastAsia" w:ascii="宋体" w:hAnsi="宋体" w:eastAsia="宋体" w:cs="宋体"/>
          <w:color w:val="000000"/>
          <w:kern w:val="21"/>
          <w:sz w:val="24"/>
          <w:szCs w:val="24"/>
          <w:vertAlign w:val="baseline"/>
          <w:lang w:val="en-US" w:eastAsia="zh-CN" w:bidi="ar-SA"/>
        </w:rPr>
        <w:t>国外碳足迹评价等采用PVF+PET作为背板的碳排放值，本文件给出数据库中PET、PVF的值作为缺省值。</w:t>
      </w:r>
      <w:r>
        <w:rPr>
          <w:rFonts w:hint="eastAsia" w:ascii="宋体" w:hAnsi="宋体" w:cs="宋体"/>
          <w:color w:val="000000"/>
          <w:kern w:val="21"/>
          <w:sz w:val="24"/>
          <w:szCs w:val="24"/>
          <w:vertAlign w:val="baseline"/>
          <w:lang w:val="en-US" w:eastAsia="zh-CN" w:bidi="ar-SA"/>
        </w:rPr>
        <w:t>PVDF的数据来自文献《Life Cycle Assessment of the Polyvinylidene Fluoride Polymer withApplications in Various Emerging Technologies》。</w:t>
      </w:r>
    </w:p>
    <w:p>
      <w:pPr>
        <w:autoSpaceDE w:val="0"/>
        <w:autoSpaceDN w:val="0"/>
        <w:ind w:firstLine="482" w:firstLineChars="200"/>
        <w:jc w:val="both"/>
        <w:rPr>
          <w:rFonts w:hint="default" w:ascii="宋体" w:hAnsi="宋体" w:eastAsia="宋体" w:cs="宋体"/>
          <w:color w:val="000000"/>
          <w:kern w:val="21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21"/>
          <w:sz w:val="24"/>
          <w:szCs w:val="24"/>
          <w:vertAlign w:val="baseline"/>
          <w:lang w:val="en-US" w:eastAsia="zh-CN" w:bidi="ar-SA"/>
        </w:rPr>
        <w:t>运输：</w:t>
      </w:r>
      <w:r>
        <w:rPr>
          <w:rFonts w:hint="eastAsia" w:ascii="宋体" w:hAnsi="宋体" w:eastAsia="宋体" w:cs="宋体"/>
          <w:color w:val="000000"/>
          <w:kern w:val="21"/>
          <w:sz w:val="24"/>
          <w:szCs w:val="24"/>
          <w:vertAlign w:val="baseline"/>
          <w:lang w:val="en-US" w:eastAsia="zh-CN" w:bidi="ar-SA"/>
        </w:rPr>
        <w:t>公路、</w:t>
      </w:r>
      <w:r>
        <w:rPr>
          <w:rFonts w:hint="eastAsia" w:ascii="宋体" w:hAnsi="宋体" w:cs="宋体"/>
          <w:color w:val="000000"/>
          <w:kern w:val="21"/>
          <w:sz w:val="24"/>
          <w:szCs w:val="24"/>
          <w:vertAlign w:val="baseline"/>
          <w:lang w:val="en-US" w:eastAsia="zh-CN" w:bidi="ar-SA"/>
        </w:rPr>
        <w:t>海运的缺省值来自Gabi数据库，</w:t>
      </w:r>
      <w:r>
        <w:rPr>
          <w:rFonts w:hint="eastAsia" w:ascii="宋体" w:hAnsi="宋体" w:eastAsia="宋体" w:cs="宋体"/>
          <w:color w:val="000000"/>
          <w:kern w:val="21"/>
          <w:sz w:val="24"/>
          <w:szCs w:val="24"/>
          <w:vertAlign w:val="baseline"/>
          <w:lang w:val="en-US" w:eastAsia="zh-CN" w:bidi="ar-SA"/>
        </w:rPr>
        <w:t>铁路、</w:t>
      </w:r>
      <w:r>
        <w:rPr>
          <w:rFonts w:hint="eastAsia" w:ascii="宋体" w:hAnsi="宋体" w:cs="宋体"/>
          <w:color w:val="000000"/>
          <w:kern w:val="21"/>
          <w:sz w:val="24"/>
          <w:szCs w:val="24"/>
          <w:vertAlign w:val="baseline"/>
          <w:lang w:val="en-US" w:eastAsia="zh-CN" w:bidi="ar-SA"/>
        </w:rPr>
        <w:t>空运</w:t>
      </w:r>
      <w:r>
        <w:rPr>
          <w:rFonts w:hint="eastAsia" w:ascii="宋体" w:hAnsi="宋体" w:eastAsia="宋体" w:cs="宋体"/>
          <w:color w:val="000000"/>
          <w:kern w:val="21"/>
          <w:sz w:val="24"/>
          <w:szCs w:val="24"/>
          <w:vertAlign w:val="baseline"/>
          <w:lang w:val="en-US" w:eastAsia="zh-CN" w:bidi="ar-SA"/>
        </w:rPr>
        <w:t>的缺省值</w:t>
      </w:r>
      <w:r>
        <w:rPr>
          <w:rFonts w:hint="eastAsia" w:ascii="宋体" w:hAnsi="宋体" w:cs="宋体"/>
          <w:color w:val="000000"/>
          <w:kern w:val="21"/>
          <w:sz w:val="24"/>
          <w:szCs w:val="24"/>
          <w:vertAlign w:val="baseline"/>
          <w:lang w:val="en-US" w:eastAsia="zh-CN" w:bidi="ar-SA"/>
        </w:rPr>
        <w:t>来自</w:t>
      </w:r>
      <w:r>
        <w:rPr>
          <w:rFonts w:hint="eastAsia" w:ascii="宋体" w:hAnsi="宋体" w:eastAsia="宋体" w:cs="宋体"/>
          <w:color w:val="000000"/>
          <w:kern w:val="21"/>
          <w:sz w:val="24"/>
          <w:szCs w:val="24"/>
          <w:vertAlign w:val="baseline"/>
          <w:lang w:val="en-US" w:eastAsia="zh-CN" w:bidi="ar-SA"/>
        </w:rPr>
        <w:t>Ecoinvent数据库。</w:t>
      </w:r>
    </w:p>
    <w:p>
      <w:pPr>
        <w:autoSpaceDE w:val="0"/>
        <w:autoSpaceDN w:val="0"/>
        <w:ind w:firstLine="480" w:firstLineChars="200"/>
        <w:jc w:val="both"/>
        <w:rPr>
          <w:rFonts w:hint="default" w:ascii="宋体" w:hAnsi="Times New Roman" w:eastAsia="宋体" w:cs="Times New Roman"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widowControl w:val="0"/>
        <w:numPr>
          <w:ilvl w:val="0"/>
          <w:numId w:val="0"/>
        </w:numPr>
        <w:spacing w:before="120" w:beforeLines="50" w:after="120" w:afterLines="50" w:line="240" w:lineRule="auto"/>
        <w:jc w:val="center"/>
        <w:outlineLvl w:val="9"/>
        <w:rPr>
          <w:rFonts w:ascii="黑体" w:hAnsi="黑体" w:eastAsia="黑体" w:cs="黑体"/>
          <w:kern w:val="21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kern w:val="21"/>
          <w:sz w:val="24"/>
          <w:szCs w:val="24"/>
          <w:lang w:val="en-US" w:eastAsia="zh-CN" w:bidi="ar-SA"/>
        </w:rPr>
        <w:t>表1  不同材料的碳排放因子缺省值</w:t>
      </w:r>
    </w:p>
    <w:tbl>
      <w:tblPr>
        <w:tblStyle w:val="5"/>
        <w:tblW w:w="4999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1413"/>
        <w:gridCol w:w="2850"/>
        <w:gridCol w:w="2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654" w:type="pct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0" w:beforeLines="0" w:after="0" w:afterLines="0" w:line="240" w:lineRule="auto"/>
              <w:jc w:val="center"/>
              <w:outlineLvl w:val="9"/>
              <w:rPr>
                <w:rFonts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  <w:t>材料</w:t>
            </w:r>
          </w:p>
        </w:tc>
        <w:tc>
          <w:tcPr>
            <w:tcW w:w="1672" w:type="pct"/>
            <w:tcBorders>
              <w:bottom w:val="single" w:color="auto" w:sz="8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0" w:beforeLines="0" w:after="0" w:afterLines="0" w:line="240" w:lineRule="auto"/>
              <w:jc w:val="center"/>
              <w:outlineLvl w:val="9"/>
              <w:rPr>
                <w:rFonts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  <w:t>碳排放因子缺省值</w:t>
            </w:r>
          </w:p>
          <w:p>
            <w:pPr>
              <w:widowControl w:val="0"/>
              <w:numPr>
                <w:ilvl w:val="0"/>
                <w:numId w:val="0"/>
              </w:numPr>
              <w:spacing w:before="0" w:beforeLines="0" w:after="0" w:afterLines="0" w:line="240" w:lineRule="auto"/>
              <w:jc w:val="center"/>
              <w:outlineLvl w:val="9"/>
              <w:rPr>
                <w:rFonts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  <w:t>kgCO</w:t>
            </w:r>
            <w:r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  <w:t>e/kg</w:t>
            </w:r>
          </w:p>
        </w:tc>
        <w:tc>
          <w:tcPr>
            <w:tcW w:w="1672" w:type="pct"/>
            <w:tcBorders>
              <w:bottom w:val="single" w:color="auto" w:sz="8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0" w:beforeLines="0" w:after="0" w:afterLines="0" w:line="240" w:lineRule="auto"/>
              <w:jc w:val="center"/>
              <w:outlineLvl w:val="9"/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  <w:t>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654" w:type="pct"/>
            <w:gridSpan w:val="2"/>
            <w:tcBorders>
              <w:top w:val="single" w:color="auto" w:sz="8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0" w:beforeLines="0" w:after="0" w:afterLines="0" w:line="240" w:lineRule="auto"/>
              <w:jc w:val="center"/>
              <w:outlineLvl w:val="9"/>
              <w:rPr>
                <w:rFonts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  <w:t>光伏电池</w:t>
            </w:r>
          </w:p>
        </w:tc>
        <w:tc>
          <w:tcPr>
            <w:tcW w:w="1672" w:type="pct"/>
            <w:tcBorders>
              <w:top w:val="single" w:color="auto" w:sz="8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0" w:beforeLines="0" w:after="0" w:afterLines="0" w:line="240" w:lineRule="auto"/>
              <w:jc w:val="center"/>
              <w:outlineLvl w:val="9"/>
              <w:rPr>
                <w:rFonts w:hint="default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  <w:t>149.05</w:t>
            </w:r>
          </w:p>
        </w:tc>
        <w:tc>
          <w:tcPr>
            <w:tcW w:w="1672" w:type="pct"/>
            <w:tcBorders>
              <w:top w:val="single" w:color="auto" w:sz="8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0" w:beforeLines="0" w:after="0" w:afterLines="0" w:line="240" w:lineRule="auto"/>
              <w:jc w:val="center"/>
              <w:outlineLvl w:val="9"/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  <w:t>kgCO</w:t>
            </w:r>
            <w:r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  <w:t>e/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  <w:t>m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1"/>
                <w:sz w:val="24"/>
                <w:szCs w:val="24"/>
                <w:vertAlign w:val="superscript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654" w:type="pct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0" w:beforeLines="0" w:after="0" w:afterLines="0" w:line="240" w:lineRule="auto"/>
              <w:jc w:val="center"/>
              <w:outlineLvl w:val="9"/>
              <w:rPr>
                <w:rFonts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  <w:t>封装玻璃</w:t>
            </w:r>
          </w:p>
        </w:tc>
        <w:tc>
          <w:tcPr>
            <w:tcW w:w="1672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0" w:beforeLines="0" w:after="0" w:afterLines="0" w:line="240" w:lineRule="auto"/>
              <w:jc w:val="center"/>
              <w:outlineLvl w:val="9"/>
              <w:rPr>
                <w:rFonts w:hint="default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  <w:t>1.04</w:t>
            </w:r>
          </w:p>
        </w:tc>
        <w:tc>
          <w:tcPr>
            <w:tcW w:w="1672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0" w:beforeLines="0" w:after="0" w:afterLines="0" w:line="240" w:lineRule="auto"/>
              <w:jc w:val="center"/>
              <w:outlineLvl w:val="9"/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  <w:t>kgCO</w:t>
            </w:r>
            <w:r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  <w:t>e/kg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654" w:type="pct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0" w:beforeLines="0" w:after="0" w:afterLines="0" w:line="240" w:lineRule="auto"/>
              <w:jc w:val="center"/>
              <w:outlineLvl w:val="9"/>
              <w:rPr>
                <w:rFonts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  <w:t>铝边框</w:t>
            </w:r>
          </w:p>
        </w:tc>
        <w:tc>
          <w:tcPr>
            <w:tcW w:w="1672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0" w:beforeLines="0" w:after="0" w:afterLines="0" w:line="240" w:lineRule="auto"/>
              <w:jc w:val="center"/>
              <w:outlineLvl w:val="9"/>
              <w:rPr>
                <w:rFonts w:hint="default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  <w:t>17.4</w:t>
            </w:r>
          </w:p>
        </w:tc>
        <w:tc>
          <w:tcPr>
            <w:tcW w:w="1672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0" w:beforeLines="0" w:after="0" w:afterLines="0" w:line="240" w:lineRule="auto"/>
              <w:jc w:val="center"/>
              <w:outlineLvl w:val="9"/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  <w:t>kgCO</w:t>
            </w:r>
            <w:r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  <w:t>e/kg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654" w:type="pct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0" w:beforeLines="0" w:after="0" w:afterLines="0" w:line="240" w:lineRule="auto"/>
              <w:jc w:val="center"/>
              <w:outlineLvl w:val="9"/>
              <w:rPr>
                <w:rFonts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  <w:t>EVA</w:t>
            </w:r>
          </w:p>
        </w:tc>
        <w:tc>
          <w:tcPr>
            <w:tcW w:w="1672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0" w:beforeLines="0" w:after="0" w:afterLines="0" w:line="240" w:lineRule="auto"/>
              <w:jc w:val="center"/>
              <w:outlineLvl w:val="9"/>
              <w:rPr>
                <w:rFonts w:hint="default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  <w:t>2.28</w:t>
            </w:r>
          </w:p>
        </w:tc>
        <w:tc>
          <w:tcPr>
            <w:tcW w:w="1672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0" w:beforeLines="0" w:after="0" w:afterLines="0" w:line="240" w:lineRule="auto"/>
              <w:jc w:val="center"/>
              <w:outlineLvl w:val="9"/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  <w:t>kgCO</w:t>
            </w:r>
            <w:r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  <w:t>e/kg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25" w:type="pct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0" w:beforeLines="0" w:after="0" w:afterLines="0" w:line="240" w:lineRule="auto"/>
              <w:jc w:val="center"/>
              <w:outlineLvl w:val="9"/>
              <w:rPr>
                <w:rFonts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  <w:t>背板</w:t>
            </w:r>
          </w:p>
        </w:tc>
        <w:tc>
          <w:tcPr>
            <w:tcW w:w="829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0" w:beforeLines="0" w:after="0" w:afterLines="0" w:line="240" w:lineRule="auto"/>
              <w:jc w:val="center"/>
              <w:outlineLvl w:val="9"/>
              <w:rPr>
                <w:rFonts w:hint="default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  <w:t>PET</w:t>
            </w:r>
          </w:p>
        </w:tc>
        <w:tc>
          <w:tcPr>
            <w:tcW w:w="1672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0" w:beforeLines="0" w:after="0" w:afterLines="0" w:line="240" w:lineRule="auto"/>
              <w:jc w:val="center"/>
              <w:outlineLvl w:val="9"/>
              <w:rPr>
                <w:rFonts w:hint="default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  <w:t>3.13</w:t>
            </w:r>
          </w:p>
        </w:tc>
        <w:tc>
          <w:tcPr>
            <w:tcW w:w="1672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0" w:beforeLines="0" w:after="0" w:afterLines="0" w:line="240" w:lineRule="auto"/>
              <w:jc w:val="center"/>
              <w:outlineLvl w:val="9"/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  <w:t>kgCO</w:t>
            </w:r>
            <w:r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  <w:t>e/kg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825" w:type="pct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0" w:beforeLines="0" w:after="0" w:afterLines="0" w:line="240" w:lineRule="auto"/>
              <w:jc w:val="center"/>
              <w:outlineLvl w:val="9"/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9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0" w:beforeLines="0" w:after="0" w:afterLines="0" w:line="240" w:lineRule="auto"/>
              <w:jc w:val="center"/>
              <w:outlineLvl w:val="9"/>
              <w:rPr>
                <w:rFonts w:hint="default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  <w:t>PVF</w:t>
            </w:r>
          </w:p>
        </w:tc>
        <w:tc>
          <w:tcPr>
            <w:tcW w:w="1672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0" w:beforeLines="0" w:after="0" w:afterLines="0" w:line="240" w:lineRule="auto"/>
              <w:jc w:val="center"/>
              <w:outlineLvl w:val="9"/>
              <w:rPr>
                <w:rFonts w:hint="default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  <w:t>19.2</w:t>
            </w:r>
          </w:p>
        </w:tc>
        <w:tc>
          <w:tcPr>
            <w:tcW w:w="1672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0" w:beforeLines="0" w:after="0" w:afterLines="0" w:line="240" w:lineRule="auto"/>
              <w:jc w:val="center"/>
              <w:outlineLvl w:val="9"/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  <w:t>kgCO</w:t>
            </w:r>
            <w:r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  <w:t>e/kg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25" w:type="pct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0" w:beforeLines="0" w:after="0" w:afterLines="0" w:line="240" w:lineRule="auto"/>
              <w:jc w:val="center"/>
              <w:outlineLvl w:val="9"/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9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0" w:beforeLines="0" w:after="0" w:afterLines="0" w:line="240" w:lineRule="auto"/>
              <w:jc w:val="center"/>
              <w:outlineLvl w:val="9"/>
              <w:rPr>
                <w:rFonts w:hint="default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  <w:t>PVDF</w:t>
            </w:r>
          </w:p>
        </w:tc>
        <w:tc>
          <w:tcPr>
            <w:tcW w:w="1672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0" w:beforeLines="0" w:after="0" w:afterLines="0" w:line="240" w:lineRule="auto"/>
              <w:jc w:val="center"/>
              <w:outlineLvl w:val="9"/>
              <w:rPr>
                <w:rFonts w:hint="default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  <w:t>55.8</w:t>
            </w:r>
          </w:p>
        </w:tc>
        <w:tc>
          <w:tcPr>
            <w:tcW w:w="1672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0" w:beforeLines="0" w:after="0" w:afterLines="0" w:line="240" w:lineRule="auto"/>
              <w:jc w:val="center"/>
              <w:outlineLvl w:val="9"/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  <w:t>kgCO</w:t>
            </w:r>
            <w:r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  <w:t>e/kg</w:t>
            </w:r>
          </w:p>
        </w:tc>
      </w:tr>
    </w:tbl>
    <w:p>
      <w:pPr>
        <w:widowControl w:val="0"/>
        <w:numPr>
          <w:ilvl w:val="0"/>
          <w:numId w:val="0"/>
        </w:numPr>
        <w:spacing w:before="120" w:beforeLines="50" w:after="120" w:afterLines="50" w:line="240" w:lineRule="auto"/>
        <w:jc w:val="center"/>
        <w:outlineLvl w:val="9"/>
        <w:rPr>
          <w:rFonts w:ascii="黑体" w:hAnsi="黑体" w:eastAsia="黑体" w:cs="黑体"/>
          <w:kern w:val="21"/>
          <w:sz w:val="24"/>
          <w:szCs w:val="24"/>
          <w:lang w:val="en-US" w:eastAsia="zh-CN" w:bidi="ar-SA"/>
        </w:rPr>
      </w:pPr>
      <w:bookmarkStart w:id="0" w:name="BookMark8"/>
      <w:r>
        <w:rPr>
          <w:rFonts w:hint="eastAsia" w:ascii="黑体" w:hAnsi="黑体" w:eastAsia="黑体" w:cs="黑体"/>
          <w:kern w:val="21"/>
          <w:sz w:val="24"/>
          <w:szCs w:val="24"/>
          <w:lang w:val="en-US" w:eastAsia="zh-CN" w:bidi="ar-SA"/>
        </w:rPr>
        <w:t>表</w:t>
      </w:r>
      <w:r>
        <w:rPr>
          <w:rFonts w:ascii="黑体" w:hAnsi="黑体" w:eastAsia="黑体" w:cs="黑体"/>
          <w:kern w:val="21"/>
          <w:sz w:val="24"/>
          <w:szCs w:val="24"/>
          <w:lang w:val="en-US" w:eastAsia="zh-CN" w:bidi="ar-SA"/>
        </w:rPr>
        <w:t>2</w:t>
      </w:r>
      <w:r>
        <w:rPr>
          <w:rFonts w:hint="eastAsia" w:ascii="黑体" w:hAnsi="黑体" w:eastAsia="黑体" w:cs="黑体"/>
          <w:kern w:val="21"/>
          <w:sz w:val="24"/>
          <w:szCs w:val="24"/>
          <w:lang w:val="en-US" w:eastAsia="zh-CN" w:bidi="ar-SA"/>
        </w:rPr>
        <w:t xml:space="preserve">  全国电网平均排放因子缺省值</w:t>
      </w:r>
    </w:p>
    <w:tbl>
      <w:tblPr>
        <w:tblStyle w:val="5"/>
        <w:tblW w:w="4951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8"/>
        <w:gridCol w:w="42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2487" w:type="pct"/>
            <w:tcBorders>
              <w:bottom w:val="single" w:color="auto" w:sz="8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0" w:beforeLines="0" w:after="0" w:afterLines="0" w:line="240" w:lineRule="auto"/>
              <w:jc w:val="center"/>
              <w:outlineLvl w:val="9"/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  <w:t>年份</w:t>
            </w:r>
          </w:p>
        </w:tc>
        <w:tc>
          <w:tcPr>
            <w:tcW w:w="2512" w:type="pct"/>
            <w:tcBorders>
              <w:bottom w:val="single" w:color="auto" w:sz="8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0" w:beforeLines="0" w:after="0" w:afterLines="0" w:line="240" w:lineRule="auto"/>
              <w:jc w:val="center"/>
              <w:outlineLvl w:val="9"/>
              <w:rPr>
                <w:rFonts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  <w:t>碳排放因子缺省值</w:t>
            </w:r>
          </w:p>
          <w:p>
            <w:pPr>
              <w:widowControl w:val="0"/>
              <w:numPr>
                <w:ilvl w:val="0"/>
                <w:numId w:val="0"/>
              </w:numPr>
              <w:spacing w:before="0" w:beforeLines="0" w:after="0" w:afterLines="0" w:line="240" w:lineRule="auto"/>
              <w:jc w:val="center"/>
              <w:outlineLvl w:val="9"/>
              <w:rPr>
                <w:rFonts w:hint="default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  <w:t>kgCO</w:t>
            </w:r>
            <w:r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  <w:t>/kWh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487" w:type="pct"/>
            <w:tcBorders>
              <w:top w:val="single" w:color="auto" w:sz="8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0" w:beforeLines="0" w:after="0" w:afterLines="0" w:line="240" w:lineRule="auto"/>
              <w:jc w:val="center"/>
              <w:outlineLvl w:val="9"/>
              <w:rPr>
                <w:rFonts w:hint="default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  <w:t>2020年</w:t>
            </w:r>
          </w:p>
        </w:tc>
        <w:tc>
          <w:tcPr>
            <w:tcW w:w="2512" w:type="pct"/>
            <w:tcBorders>
              <w:top w:val="single" w:color="auto" w:sz="8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0" w:beforeLines="0" w:after="0" w:afterLines="0" w:line="240" w:lineRule="auto"/>
              <w:jc w:val="center"/>
              <w:outlineLvl w:val="9"/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  <w:t>0.6101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487" w:type="pct"/>
            <w:tcBorders>
              <w:top w:val="single" w:color="auto" w:sz="8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0" w:beforeLines="0" w:after="0" w:afterLines="0" w:line="240" w:lineRule="auto"/>
              <w:jc w:val="center"/>
              <w:outlineLvl w:val="9"/>
              <w:rPr>
                <w:rFonts w:hint="default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  <w:t>2021年</w:t>
            </w:r>
          </w:p>
        </w:tc>
        <w:tc>
          <w:tcPr>
            <w:tcW w:w="2512" w:type="pct"/>
            <w:tcBorders>
              <w:top w:val="single" w:color="auto" w:sz="8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0" w:beforeLines="0" w:after="0" w:afterLines="0" w:line="240" w:lineRule="auto"/>
              <w:jc w:val="center"/>
              <w:outlineLvl w:val="9"/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  <w:t>0.5810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487" w:type="pct"/>
            <w:tcBorders>
              <w:top w:val="single" w:color="auto" w:sz="8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0" w:beforeLines="0" w:after="0" w:afterLines="0" w:line="240" w:lineRule="auto"/>
              <w:jc w:val="center"/>
              <w:outlineLvl w:val="9"/>
              <w:rPr>
                <w:rFonts w:hint="default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  <w:t>2022年</w:t>
            </w:r>
          </w:p>
        </w:tc>
        <w:tc>
          <w:tcPr>
            <w:tcW w:w="2512" w:type="pct"/>
            <w:tcBorders>
              <w:top w:val="single" w:color="auto" w:sz="8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0" w:beforeLines="0" w:after="0" w:afterLines="0" w:line="240" w:lineRule="auto"/>
              <w:jc w:val="center"/>
              <w:outlineLvl w:val="9"/>
              <w:rPr>
                <w:rFonts w:hint="default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  <w:t>0.5703</w:t>
            </w:r>
          </w:p>
        </w:tc>
      </w:tr>
    </w:tbl>
    <w:p>
      <w:pPr>
        <w:widowControl w:val="0"/>
        <w:numPr>
          <w:ilvl w:val="0"/>
          <w:numId w:val="0"/>
        </w:numPr>
        <w:spacing w:before="120" w:beforeLines="50" w:after="120" w:afterLines="50" w:line="240" w:lineRule="auto"/>
        <w:jc w:val="center"/>
        <w:outlineLvl w:val="9"/>
        <w:rPr>
          <w:rFonts w:ascii="黑体" w:hAnsi="黑体" w:eastAsia="黑体" w:cs="黑体"/>
          <w:kern w:val="21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kern w:val="21"/>
          <w:sz w:val="24"/>
          <w:szCs w:val="24"/>
          <w:lang w:val="en-US" w:eastAsia="zh-CN" w:bidi="ar-SA"/>
        </w:rPr>
        <w:t>表</w:t>
      </w:r>
      <w:r>
        <w:rPr>
          <w:rFonts w:ascii="黑体" w:hAnsi="黑体" w:eastAsia="黑体" w:cs="黑体"/>
          <w:kern w:val="21"/>
          <w:sz w:val="24"/>
          <w:szCs w:val="24"/>
          <w:lang w:val="en-US" w:eastAsia="zh-CN" w:bidi="ar-SA"/>
        </w:rPr>
        <w:t>3</w:t>
      </w:r>
      <w:r>
        <w:rPr>
          <w:rFonts w:hint="eastAsia" w:ascii="黑体" w:hAnsi="黑体" w:eastAsia="黑体" w:cs="黑体"/>
          <w:kern w:val="21"/>
          <w:sz w:val="24"/>
          <w:szCs w:val="24"/>
          <w:lang w:val="en-US" w:eastAsia="zh-CN" w:bidi="ar-SA"/>
        </w:rPr>
        <w:t xml:space="preserve">  运输过程的碳排放因子缺省值</w:t>
      </w:r>
    </w:p>
    <w:tbl>
      <w:tblPr>
        <w:tblStyle w:val="5"/>
        <w:tblW w:w="4998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8"/>
        <w:gridCol w:w="428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7" w:type="pct"/>
            <w:tcBorders>
              <w:bottom w:val="single" w:color="auto" w:sz="8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spacing w:before="0" w:beforeLines="0" w:after="0" w:afterLines="0" w:line="240" w:lineRule="auto"/>
              <w:jc w:val="center"/>
              <w:outlineLvl w:val="9"/>
              <w:rPr>
                <w:rFonts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  <w:t>运输方式</w:t>
            </w:r>
          </w:p>
        </w:tc>
        <w:tc>
          <w:tcPr>
            <w:tcW w:w="2512" w:type="pct"/>
            <w:tcBorders>
              <w:bottom w:val="single" w:color="auto" w:sz="8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spacing w:before="0" w:beforeLines="0" w:after="0" w:afterLines="0" w:line="240" w:lineRule="auto"/>
              <w:jc w:val="center"/>
              <w:outlineLvl w:val="9"/>
              <w:rPr>
                <w:rFonts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  <w:t>碳排放因子缺省值</w:t>
            </w:r>
          </w:p>
          <w:p>
            <w:pPr>
              <w:widowControl w:val="0"/>
              <w:numPr>
                <w:ilvl w:val="0"/>
                <w:numId w:val="0"/>
              </w:numPr>
              <w:spacing w:before="0" w:beforeLines="0" w:after="0" w:afterLines="0" w:line="240" w:lineRule="auto"/>
              <w:jc w:val="center"/>
              <w:outlineLvl w:val="9"/>
              <w:rPr>
                <w:rFonts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  <w:t>kgCO</w:t>
            </w:r>
            <w:r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  <w:t>e·</w:t>
            </w:r>
            <w:r>
              <w:rPr>
                <w:rFonts w:hint="eastAsia" w:ascii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  <w:t>kg</w:t>
            </w:r>
            <w:r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vertAlign w:val="superscript"/>
                <w:lang w:val="en-US" w:eastAsia="zh-CN" w:bidi="ar-SA"/>
              </w:rPr>
              <w:t>-1</w:t>
            </w:r>
            <w:r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  <w:t>·km</w:t>
            </w:r>
            <w:r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vertAlign w:val="superscript"/>
                <w:lang w:val="en-US" w:eastAsia="zh-CN" w:bidi="ar-SA"/>
              </w:rPr>
              <w:t>-1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487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0" w:beforeLines="0" w:after="0" w:afterLines="0" w:line="240" w:lineRule="auto"/>
              <w:jc w:val="center"/>
              <w:outlineLvl w:val="9"/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  <w:t>货车7.5t以下</w:t>
            </w:r>
          </w:p>
        </w:tc>
        <w:tc>
          <w:tcPr>
            <w:tcW w:w="2512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0" w:beforeLines="0" w:after="0" w:afterLines="0" w:line="240" w:lineRule="auto"/>
              <w:jc w:val="center"/>
              <w:outlineLvl w:val="9"/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  <w:t>0.000257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487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0" w:beforeLines="0" w:after="0" w:afterLines="0" w:line="240" w:lineRule="auto"/>
              <w:jc w:val="center"/>
              <w:outlineLvl w:val="9"/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  <w:t>货车7.5～12t以下</w:t>
            </w:r>
          </w:p>
        </w:tc>
        <w:tc>
          <w:tcPr>
            <w:tcW w:w="2512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0" w:beforeLines="0" w:after="0" w:afterLines="0" w:line="240" w:lineRule="auto"/>
              <w:jc w:val="center"/>
              <w:outlineLvl w:val="9"/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  <w:t>0.000196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487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0" w:beforeLines="0" w:after="0" w:afterLines="0" w:line="240" w:lineRule="auto"/>
              <w:jc w:val="center"/>
              <w:outlineLvl w:val="9"/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  <w:t>货车12～14t以下</w:t>
            </w:r>
          </w:p>
        </w:tc>
        <w:tc>
          <w:tcPr>
            <w:tcW w:w="2512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0" w:beforeLines="0" w:after="0" w:afterLines="0" w:line="240" w:lineRule="auto"/>
              <w:jc w:val="center"/>
              <w:outlineLvl w:val="9"/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  <w:t>0.00011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487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0" w:beforeLines="0" w:after="0" w:afterLines="0" w:line="240" w:lineRule="auto"/>
              <w:jc w:val="center"/>
              <w:outlineLvl w:val="9"/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  <w:t>货车14～20t以下</w:t>
            </w:r>
          </w:p>
        </w:tc>
        <w:tc>
          <w:tcPr>
            <w:tcW w:w="2512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0" w:beforeLines="0" w:after="0" w:afterLines="0" w:line="240" w:lineRule="auto"/>
              <w:jc w:val="center"/>
              <w:outlineLvl w:val="9"/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  <w:t>0.0000994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487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0" w:beforeLines="0" w:after="0" w:afterLines="0" w:line="240" w:lineRule="auto"/>
              <w:jc w:val="center"/>
              <w:outlineLvl w:val="9"/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  <w:t>货车20～26t以下</w:t>
            </w:r>
          </w:p>
        </w:tc>
        <w:tc>
          <w:tcPr>
            <w:tcW w:w="2512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0" w:beforeLines="0" w:after="0" w:afterLines="0" w:line="240" w:lineRule="auto"/>
              <w:jc w:val="center"/>
              <w:outlineLvl w:val="9"/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  <w:t>0.0000764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487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0" w:beforeLines="0" w:after="0" w:afterLines="0" w:line="240" w:lineRule="auto"/>
              <w:jc w:val="center"/>
              <w:outlineLvl w:val="9"/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  <w:t>货车28～32t以下</w:t>
            </w:r>
          </w:p>
        </w:tc>
        <w:tc>
          <w:tcPr>
            <w:tcW w:w="2512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0" w:beforeLines="0" w:after="0" w:afterLines="0" w:line="240" w:lineRule="auto"/>
              <w:jc w:val="center"/>
              <w:outlineLvl w:val="9"/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  <w:t>0.0000687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487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0" w:beforeLines="0" w:after="0" w:afterLines="0" w:line="240" w:lineRule="auto"/>
              <w:jc w:val="center"/>
              <w:outlineLvl w:val="9"/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  <w:t>货车32t以上</w:t>
            </w:r>
          </w:p>
        </w:tc>
        <w:tc>
          <w:tcPr>
            <w:tcW w:w="2512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0" w:beforeLines="0" w:after="0" w:afterLines="0" w:line="240" w:lineRule="auto"/>
              <w:jc w:val="center"/>
              <w:outlineLvl w:val="9"/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  <w:t>0.0000598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487" w:type="pct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before="0" w:beforeLines="0" w:after="0" w:afterLines="0" w:line="240" w:lineRule="auto"/>
              <w:ind w:left="0" w:leftChars="0" w:firstLine="0" w:firstLineChars="0"/>
              <w:jc w:val="center"/>
              <w:outlineLvl w:val="9"/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  <w:t>铁路</w:t>
            </w:r>
          </w:p>
        </w:tc>
        <w:tc>
          <w:tcPr>
            <w:tcW w:w="2512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0" w:beforeLines="0" w:after="0" w:afterLines="0" w:line="240" w:lineRule="auto"/>
              <w:ind w:left="0" w:leftChars="0" w:firstLine="0" w:firstLineChars="0"/>
              <w:jc w:val="center"/>
              <w:outlineLvl w:val="9"/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  <w:t>0.0000479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487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0" w:beforeLines="0" w:after="0" w:afterLines="0" w:line="240" w:lineRule="auto"/>
              <w:jc w:val="center"/>
              <w:outlineLvl w:val="9"/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  <w:t>海运</w:t>
            </w:r>
          </w:p>
        </w:tc>
        <w:tc>
          <w:tcPr>
            <w:tcW w:w="2512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0" w:beforeLines="0" w:after="0" w:afterLines="0" w:line="240" w:lineRule="auto"/>
              <w:jc w:val="center"/>
              <w:outlineLvl w:val="9"/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  <w:t>0.0000104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487" w:type="pct"/>
          </w:tcPr>
          <w:p>
            <w:pPr>
              <w:widowControl w:val="0"/>
              <w:numPr>
                <w:ilvl w:val="0"/>
                <w:numId w:val="0"/>
              </w:numPr>
              <w:spacing w:before="0" w:beforeLines="0" w:after="0" w:afterLines="0" w:line="240" w:lineRule="auto"/>
              <w:jc w:val="center"/>
              <w:outlineLvl w:val="9"/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  <w:t>空运</w:t>
            </w:r>
          </w:p>
        </w:tc>
        <w:tc>
          <w:tcPr>
            <w:tcW w:w="2512" w:type="pc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0" w:beforeLines="0" w:after="0" w:afterLines="0" w:line="240" w:lineRule="auto"/>
              <w:jc w:val="center"/>
              <w:outlineLvl w:val="9"/>
              <w:rPr>
                <w:rFonts w:hint="default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1"/>
                <w:sz w:val="24"/>
                <w:szCs w:val="24"/>
                <w:lang w:val="en-US" w:eastAsia="zh-CN" w:bidi="ar-SA"/>
              </w:rPr>
              <w:t>0.00112</w:t>
            </w:r>
          </w:p>
        </w:tc>
      </w:tr>
      <w:bookmarkEnd w:id="0"/>
    </w:tbl>
    <w:p>
      <w:pPr>
        <w:autoSpaceDE w:val="0"/>
        <w:autoSpaceDN w:val="0"/>
        <w:ind w:firstLine="480" w:firstLineChars="200"/>
        <w:jc w:val="both"/>
        <w:rPr>
          <w:rFonts w:hint="eastAsia" w:ascii="宋体" w:hAnsi="Times New Roman" w:eastAsia="宋体" w:cs="Times New Roman"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ind w:firstLine="480" w:firstLineChars="200"/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Times New Roman" w:eastAsia="宋体" w:cs="Times New Roman"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根据本文件给出的缺省值可以计</w:t>
      </w:r>
      <w:bookmarkStart w:id="1" w:name="_GoBack"/>
      <w:bookmarkEnd w:id="1"/>
      <w:r>
        <w:rPr>
          <w:rFonts w:hint="eastAsia" w:ascii="宋体" w:hAnsi="Times New Roman" w:eastAsia="宋体" w:cs="Times New Roman"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算得到常规光伏组件对应的碳排放值</w:t>
      </w:r>
      <w:r>
        <w:rPr>
          <w:rFonts w:hint="eastAsia" w:ascii="宋体" w:cs="Times New Roman"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，以估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算值80%的数据确定本文件低碳值分别为：单面组件＜650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kgCO</w:t>
      </w:r>
      <w:r>
        <w:rPr>
          <w:rFonts w:hint="eastAsia" w:ascii="宋体" w:hAnsi="宋体" w:eastAsia="宋体" w:cs="宋体"/>
          <w:color w:val="000000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e/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k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W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双面组件＜620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kgCO</w:t>
      </w:r>
      <w:r>
        <w:rPr>
          <w:rFonts w:hint="eastAsia" w:ascii="宋体" w:hAnsi="宋体" w:eastAsia="宋体" w:cs="宋体"/>
          <w:color w:val="000000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e/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k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W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ind w:firstLine="480" w:firstLineChars="200"/>
        <w:jc w:val="both"/>
        <w:rPr>
          <w:rFonts w:hint="eastAsia" w:ascii="宋体" w:hAnsi="Times New Roman" w:eastAsia="宋体" w:cs="Times New Roman"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3886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1893"/>
        <w:gridCol w:w="189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141" w:type="pct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组件类型</w:t>
            </w:r>
          </w:p>
        </w:tc>
        <w:tc>
          <w:tcPr>
            <w:tcW w:w="1429" w:type="pct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缺省值计算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Times New Roman" w:eastAsia="宋体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kgCO2e/kw</w:t>
            </w:r>
          </w:p>
        </w:tc>
        <w:tc>
          <w:tcPr>
            <w:tcW w:w="1429" w:type="pct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本文件低碳值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1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单面组件1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815.61</w:t>
            </w:r>
          </w:p>
        </w:tc>
        <w:tc>
          <w:tcPr>
            <w:tcW w:w="1429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1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单面组件2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812.52 </w:t>
            </w:r>
          </w:p>
        </w:tc>
        <w:tc>
          <w:tcPr>
            <w:tcW w:w="1429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1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单面组件3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857.08</w:t>
            </w:r>
          </w:p>
        </w:tc>
        <w:tc>
          <w:tcPr>
            <w:tcW w:w="1429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1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单面组件4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818.62</w:t>
            </w:r>
          </w:p>
        </w:tc>
        <w:tc>
          <w:tcPr>
            <w:tcW w:w="1429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1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双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面组件1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778.29</w:t>
            </w:r>
          </w:p>
        </w:tc>
        <w:tc>
          <w:tcPr>
            <w:tcW w:w="1429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1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双面组件2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782.03</w:t>
            </w:r>
          </w:p>
        </w:tc>
        <w:tc>
          <w:tcPr>
            <w:tcW w:w="1429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1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双面组件3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778.65</w:t>
            </w:r>
          </w:p>
        </w:tc>
        <w:tc>
          <w:tcPr>
            <w:tcW w:w="1429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14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双面组件4</w:t>
            </w:r>
          </w:p>
        </w:tc>
        <w:tc>
          <w:tcPr>
            <w:tcW w:w="18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765.32</w:t>
            </w:r>
          </w:p>
        </w:tc>
        <w:tc>
          <w:tcPr>
            <w:tcW w:w="1429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autoSpaceDE w:val="0"/>
        <w:autoSpaceDN w:val="0"/>
        <w:ind w:firstLine="480" w:firstLineChars="200"/>
        <w:jc w:val="both"/>
        <w:rPr>
          <w:rFonts w:hint="eastAsia" w:ascii="宋体" w:hAnsi="Times New Roman" w:eastAsia="宋体" w:cs="Times New Roman"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ind w:firstLine="480" w:firstLineChars="200"/>
        <w:jc w:val="both"/>
        <w:rPr>
          <w:rFonts w:hint="default" w:ascii="宋体" w:hAnsi="Times New Roman" w:eastAsia="宋体" w:cs="Times New Roman"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cs="Times New Roman"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当采用再生铝合金边框（1.86kgCO</w:t>
      </w:r>
      <w:r>
        <w:rPr>
          <w:rFonts w:hint="eastAsia" w:ascii="宋体" w:cs="Times New Roman"/>
          <w:color w:val="000000" w:themeColor="text1"/>
          <w:sz w:val="24"/>
          <w:szCs w:val="24"/>
          <w:vertAlign w:val="subscript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cs="Times New Roman"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e/kg）并且电池片碳排放按160微米厚度折算时，基本接近低碳值，一般企业在采用一定降碳技术的情况下可实现产品低碳。</w:t>
      </w:r>
    </w:p>
    <w:tbl>
      <w:tblPr>
        <w:tblStyle w:val="5"/>
        <w:tblW w:w="4998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1721"/>
        <w:gridCol w:w="1721"/>
        <w:gridCol w:w="1721"/>
        <w:gridCol w:w="17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59" w:type="pct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组件类型</w:t>
            </w:r>
          </w:p>
        </w:tc>
        <w:tc>
          <w:tcPr>
            <w:tcW w:w="1010" w:type="pct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缺省值计算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kgCO2e/kw</w:t>
            </w:r>
          </w:p>
        </w:tc>
        <w:tc>
          <w:tcPr>
            <w:tcW w:w="1010" w:type="pct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采用再生铝边框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kgCO2e/kw</w:t>
            </w:r>
          </w:p>
        </w:tc>
        <w:tc>
          <w:tcPr>
            <w:tcW w:w="1010" w:type="pct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160μm电池片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kgCO2e/kw</w:t>
            </w:r>
          </w:p>
        </w:tc>
        <w:tc>
          <w:tcPr>
            <w:tcW w:w="1010" w:type="pct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再生铝边框+160μm电池片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宋体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kgCO2e/kw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95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单面组件1</w:t>
            </w:r>
          </w:p>
        </w:tc>
        <w:tc>
          <w:tcPr>
            <w:tcW w:w="10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815.61</w:t>
            </w:r>
          </w:p>
        </w:tc>
        <w:tc>
          <w:tcPr>
            <w:tcW w:w="10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732.07</w:t>
            </w:r>
          </w:p>
        </w:tc>
        <w:tc>
          <w:tcPr>
            <w:tcW w:w="10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743.49 </w:t>
            </w:r>
          </w:p>
        </w:tc>
        <w:tc>
          <w:tcPr>
            <w:tcW w:w="10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658.98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5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单面组件2</w:t>
            </w:r>
          </w:p>
        </w:tc>
        <w:tc>
          <w:tcPr>
            <w:tcW w:w="10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812.52 </w:t>
            </w:r>
          </w:p>
        </w:tc>
        <w:tc>
          <w:tcPr>
            <w:tcW w:w="10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725.70</w:t>
            </w:r>
          </w:p>
        </w:tc>
        <w:tc>
          <w:tcPr>
            <w:tcW w:w="10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740.93 </w:t>
            </w:r>
          </w:p>
        </w:tc>
        <w:tc>
          <w:tcPr>
            <w:tcW w:w="10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653.10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95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单面组件3</w:t>
            </w:r>
          </w:p>
        </w:tc>
        <w:tc>
          <w:tcPr>
            <w:tcW w:w="10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857.08</w:t>
            </w:r>
          </w:p>
        </w:tc>
        <w:tc>
          <w:tcPr>
            <w:tcW w:w="10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776.48</w:t>
            </w:r>
          </w:p>
        </w:tc>
        <w:tc>
          <w:tcPr>
            <w:tcW w:w="10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783.58 </w:t>
            </w:r>
          </w:p>
        </w:tc>
        <w:tc>
          <w:tcPr>
            <w:tcW w:w="10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702.05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5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单面组件4</w:t>
            </w:r>
          </w:p>
        </w:tc>
        <w:tc>
          <w:tcPr>
            <w:tcW w:w="10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818.62</w:t>
            </w:r>
          </w:p>
        </w:tc>
        <w:tc>
          <w:tcPr>
            <w:tcW w:w="10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734.92</w:t>
            </w:r>
          </w:p>
        </w:tc>
        <w:tc>
          <w:tcPr>
            <w:tcW w:w="10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746.25 </w:t>
            </w:r>
          </w:p>
        </w:tc>
        <w:tc>
          <w:tcPr>
            <w:tcW w:w="10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661.58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95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双</w:t>
            </w:r>
            <w:r>
              <w:rPr>
                <w:rFonts w:hint="eastAsia" w:ascii="宋体" w:hAnsi="Times New Roman" w:eastAsia="宋体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面组件1</w:t>
            </w:r>
          </w:p>
        </w:tc>
        <w:tc>
          <w:tcPr>
            <w:tcW w:w="10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778.29</w:t>
            </w:r>
          </w:p>
        </w:tc>
        <w:tc>
          <w:tcPr>
            <w:tcW w:w="10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701.17</w:t>
            </w:r>
          </w:p>
        </w:tc>
        <w:tc>
          <w:tcPr>
            <w:tcW w:w="10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709.28 </w:t>
            </w:r>
          </w:p>
        </w:tc>
        <w:tc>
          <w:tcPr>
            <w:tcW w:w="10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631.26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95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双面组件2</w:t>
            </w:r>
          </w:p>
        </w:tc>
        <w:tc>
          <w:tcPr>
            <w:tcW w:w="10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782.03</w:t>
            </w:r>
          </w:p>
        </w:tc>
        <w:tc>
          <w:tcPr>
            <w:tcW w:w="10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703.12</w:t>
            </w:r>
          </w:p>
        </w:tc>
        <w:tc>
          <w:tcPr>
            <w:tcW w:w="10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712.48 </w:t>
            </w:r>
          </w:p>
        </w:tc>
        <w:tc>
          <w:tcPr>
            <w:tcW w:w="10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632.66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95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双面组件3</w:t>
            </w:r>
          </w:p>
        </w:tc>
        <w:tc>
          <w:tcPr>
            <w:tcW w:w="10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778.65</w:t>
            </w:r>
          </w:p>
        </w:tc>
        <w:tc>
          <w:tcPr>
            <w:tcW w:w="10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702.78</w:t>
            </w:r>
          </w:p>
        </w:tc>
        <w:tc>
          <w:tcPr>
            <w:tcW w:w="10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709.11 </w:t>
            </w:r>
          </w:p>
        </w:tc>
        <w:tc>
          <w:tcPr>
            <w:tcW w:w="10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632.36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95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双面组件4</w:t>
            </w:r>
          </w:p>
        </w:tc>
        <w:tc>
          <w:tcPr>
            <w:tcW w:w="10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765.32</w:t>
            </w:r>
          </w:p>
        </w:tc>
        <w:tc>
          <w:tcPr>
            <w:tcW w:w="10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Times New Roman" w:eastAsia="宋体" w:cs="Times New Roman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690.72</w:t>
            </w:r>
          </w:p>
        </w:tc>
        <w:tc>
          <w:tcPr>
            <w:tcW w:w="10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696.81 </w:t>
            </w:r>
          </w:p>
        </w:tc>
        <w:tc>
          <w:tcPr>
            <w:tcW w:w="10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621.35 </w:t>
            </w:r>
          </w:p>
        </w:tc>
      </w:tr>
    </w:tbl>
    <w:p>
      <w:pPr>
        <w:autoSpaceDE w:val="0"/>
        <w:autoSpaceDN w:val="0"/>
        <w:ind w:firstLine="480" w:firstLineChars="200"/>
        <w:jc w:val="both"/>
        <w:rPr>
          <w:rFonts w:hint="eastAsia" w:ascii="宋体" w:hAnsi="Times New Roman" w:eastAsia="宋体" w:cs="Times New Roman"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ind w:firstLine="480" w:firstLineChars="200"/>
        <w:jc w:val="both"/>
        <w:rPr>
          <w:rFonts w:hint="eastAsia" w:ascii="宋体" w:hAnsi="Times New Roman" w:eastAsia="宋体" w:cs="Times New Roman"/>
          <w:color w:val="auto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firstLine="480" w:firstLineChars="200"/>
        <w:jc w:val="both"/>
        <w:textAlignment w:val="auto"/>
        <w:outlineLvl w:val="9"/>
        <w:rPr>
          <w:rFonts w:hint="eastAsia" w:ascii="宋体" w:hAnsi="Times New Roman" w:eastAsia="宋体" w:cs="Times New Roman"/>
          <w:color w:val="000000" w:themeColor="text1"/>
          <w:kern w:val="2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Times New Roman" w:eastAsia="宋体" w:cs="Times New Roman"/>
          <w:color w:val="000000" w:themeColor="text1"/>
          <w:kern w:val="21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晶体硅光伏组件的低碳产品的碳排放指标计算方法见式（A.1）</w:t>
      </w:r>
    </w:p>
    <w:p>
      <w:pPr>
        <w:widowControl w:val="0"/>
        <w:tabs>
          <w:tab w:val="center" w:pos="4678"/>
          <w:tab w:val="right" w:leader="middleDot" w:pos="9356"/>
        </w:tabs>
        <w:adjustRightInd w:val="0"/>
        <w:spacing w:line="240" w:lineRule="auto"/>
        <w:jc w:val="both"/>
        <w:rPr>
          <w:rFonts w:ascii="宋体" w:hAnsi="宋体" w:eastAsia="宋体" w:cs="Times New Roman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000000"/>
          <w:kern w:val="2"/>
          <w:sz w:val="24"/>
          <w:szCs w:val="24"/>
          <w:lang w:val="en-US" w:eastAsia="zh-CN" w:bidi="ar-SA"/>
        </w:rPr>
        <w:tab/>
      </w:r>
      <w:r>
        <w:rPr>
          <w:rFonts w:hint="eastAsia" w:ascii="宋体" w:hAnsi="宋体" w:eastAsia="宋体" w:cs="Times New Roman"/>
          <w:color w:val="000000"/>
          <w:kern w:val="2"/>
          <w:position w:val="-30"/>
          <w:sz w:val="24"/>
          <w:szCs w:val="24"/>
          <w:lang w:val="en-US" w:eastAsia="zh-CN" w:bidi="ar-SA"/>
        </w:rPr>
        <w:object>
          <v:shape id="_x0000_i1025" o:spt="75" type="#_x0000_t75" style="height:43.85pt;width:184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hint="eastAsia" w:ascii="宋体" w:hAnsi="宋体" w:eastAsia="宋体" w:cs="Times New Roman"/>
          <w:color w:val="000000"/>
          <w:kern w:val="2"/>
          <w:sz w:val="24"/>
          <w:szCs w:val="24"/>
          <w:lang w:val="en-US" w:eastAsia="zh-CN" w:bidi="ar-SA"/>
        </w:rPr>
        <w:tab/>
      </w:r>
      <w:r>
        <w:rPr>
          <w:rFonts w:hint="eastAsia" w:ascii="宋体" w:hAnsi="宋体" w:eastAsia="宋体" w:cs="Times New Roman"/>
          <w:color w:val="000000"/>
          <w:kern w:val="2"/>
          <w:sz w:val="24"/>
          <w:szCs w:val="24"/>
          <w:lang w:val="en-US" w:eastAsia="zh-CN" w:bidi="ar-SA"/>
        </w:rPr>
        <w:t>（A.1）</w:t>
      </w:r>
    </w:p>
    <w:p>
      <w:pPr>
        <w:widowControl w:val="0"/>
        <w:numPr>
          <w:ilvl w:val="0"/>
          <w:numId w:val="0"/>
        </w:numPr>
        <w:spacing w:before="0" w:beforeLines="0" w:after="0" w:afterLines="0" w:line="240" w:lineRule="auto"/>
        <w:ind w:firstLine="480" w:firstLineChars="200"/>
        <w:jc w:val="both"/>
        <w:outlineLvl w:val="9"/>
        <w:rPr>
          <w:rFonts w:ascii="宋体" w:hAnsi="Times New Roman" w:eastAsia="宋体" w:cs="Times New Roman"/>
          <w:color w:val="000000"/>
          <w:kern w:val="21"/>
          <w:sz w:val="24"/>
          <w:szCs w:val="24"/>
          <w:lang w:val="en-US" w:eastAsia="zh-CN" w:bidi="ar-SA"/>
        </w:rPr>
      </w:pPr>
      <w:r>
        <w:rPr>
          <w:rFonts w:hint="eastAsia" w:ascii="宋体" w:hAnsi="Times New Roman" w:eastAsia="宋体" w:cs="Times New Roman"/>
          <w:color w:val="000000"/>
          <w:kern w:val="21"/>
          <w:sz w:val="24"/>
          <w:szCs w:val="24"/>
          <w:lang w:val="en-US" w:eastAsia="zh-CN" w:bidi="ar-SA"/>
        </w:rPr>
        <w:t>式中：</w:t>
      </w:r>
    </w:p>
    <w:p>
      <w:pPr>
        <w:widowControl w:val="0"/>
        <w:numPr>
          <w:ilvl w:val="0"/>
          <w:numId w:val="0"/>
        </w:numPr>
        <w:spacing w:before="0" w:beforeLines="0" w:after="0" w:afterLines="0" w:line="240" w:lineRule="auto"/>
        <w:ind w:firstLine="480" w:firstLineChars="200"/>
        <w:jc w:val="both"/>
        <w:outlineLvl w:val="9"/>
        <w:rPr>
          <w:rFonts w:ascii="宋体" w:hAnsi="Times New Roman" w:eastAsia="宋体" w:cs="Times New Roman"/>
          <w:color w:val="000000"/>
          <w:kern w:val="21"/>
          <w:sz w:val="24"/>
          <w:szCs w:val="24"/>
          <w:lang w:val="en-US" w:eastAsia="zh-CN" w:bidi="ar-SA"/>
        </w:rPr>
      </w:pPr>
      <w:r>
        <w:rPr>
          <w:rFonts w:hint="eastAsia" w:ascii="宋体" w:hAnsi="Times New Roman" w:eastAsia="宋体" w:cs="Times New Roman"/>
          <w:color w:val="000000"/>
          <w:kern w:val="21"/>
          <w:sz w:val="24"/>
          <w:szCs w:val="24"/>
          <w:lang w:val="en-US" w:eastAsia="zh-CN" w:bidi="ar-SA"/>
        </w:rPr>
        <w:t>E</w:t>
      </w:r>
      <w:r>
        <w:rPr>
          <w:rFonts w:hint="eastAsia" w:ascii="宋体" w:hAnsi="Times New Roman" w:eastAsia="宋体" w:cs="Times New Roman"/>
          <w:color w:val="000000"/>
          <w:kern w:val="21"/>
          <w:sz w:val="24"/>
          <w:szCs w:val="24"/>
          <w:vertAlign w:val="subscript"/>
          <w:lang w:val="en-US" w:eastAsia="zh-CN" w:bidi="ar-SA"/>
        </w:rPr>
        <w:t xml:space="preserve">M   </w:t>
      </w:r>
      <w:r>
        <w:rPr>
          <w:rFonts w:hint="eastAsia" w:ascii="宋体" w:hAnsi="Times New Roman" w:eastAsia="宋体" w:cs="Times New Roman"/>
          <w:color w:val="000000"/>
          <w:kern w:val="21"/>
          <w:sz w:val="24"/>
          <w:szCs w:val="24"/>
          <w:lang w:val="en-US" w:eastAsia="zh-CN" w:bidi="ar-SA"/>
        </w:rPr>
        <w:t>——单位功率下产品的碳排放量，单位为千克二氧化碳当量/千瓦（kgCO</w:t>
      </w:r>
      <w:r>
        <w:rPr>
          <w:rFonts w:hint="eastAsia" w:ascii="宋体" w:hAnsi="Times New Roman" w:eastAsia="宋体" w:cs="Times New Roman"/>
          <w:color w:val="000000"/>
          <w:kern w:val="21"/>
          <w:sz w:val="24"/>
          <w:szCs w:val="24"/>
          <w:vertAlign w:val="subscript"/>
          <w:lang w:val="en-US" w:eastAsia="zh-CN" w:bidi="ar-SA"/>
        </w:rPr>
        <w:t>2</w:t>
      </w:r>
      <w:r>
        <w:rPr>
          <w:rFonts w:hint="eastAsia" w:ascii="宋体" w:hAnsi="Times New Roman" w:eastAsia="宋体" w:cs="Times New Roman"/>
          <w:color w:val="000000"/>
          <w:kern w:val="21"/>
          <w:sz w:val="24"/>
          <w:szCs w:val="24"/>
          <w:lang w:val="en-US" w:eastAsia="zh-CN" w:bidi="ar-SA"/>
        </w:rPr>
        <w:t>e/kW）；</w:t>
      </w:r>
    </w:p>
    <w:p>
      <w:pPr>
        <w:widowControl w:val="0"/>
        <w:numPr>
          <w:ilvl w:val="0"/>
          <w:numId w:val="0"/>
        </w:numPr>
        <w:spacing w:before="0" w:beforeLines="0" w:after="0" w:afterLines="0" w:line="240" w:lineRule="auto"/>
        <w:ind w:firstLine="480" w:firstLineChars="200"/>
        <w:jc w:val="both"/>
        <w:outlineLvl w:val="9"/>
        <w:rPr>
          <w:rFonts w:ascii="宋体" w:hAnsi="Times New Roman" w:eastAsia="宋体" w:cs="Times New Roman"/>
          <w:color w:val="000000"/>
          <w:kern w:val="21"/>
          <w:sz w:val="24"/>
          <w:szCs w:val="24"/>
          <w:lang w:val="en-US" w:eastAsia="zh-CN" w:bidi="ar-SA"/>
        </w:rPr>
      </w:pPr>
      <w:r>
        <w:rPr>
          <w:rFonts w:hint="eastAsia" w:ascii="宋体" w:hAnsi="Times New Roman" w:eastAsia="宋体" w:cs="Times New Roman"/>
          <w:color w:val="000000"/>
          <w:kern w:val="21"/>
          <w:sz w:val="24"/>
          <w:szCs w:val="24"/>
          <w:lang w:val="en-US" w:eastAsia="zh-CN" w:bidi="ar-SA"/>
        </w:rPr>
        <w:t>EF</w:t>
      </w:r>
      <w:r>
        <w:rPr>
          <w:rFonts w:hint="eastAsia" w:ascii="宋体" w:hAnsi="Times New Roman" w:eastAsia="宋体" w:cs="Times New Roman"/>
          <w:color w:val="000000"/>
          <w:kern w:val="21"/>
          <w:sz w:val="24"/>
          <w:szCs w:val="24"/>
          <w:vertAlign w:val="subscript"/>
          <w:lang w:val="en-US" w:eastAsia="zh-CN" w:bidi="ar-SA"/>
        </w:rPr>
        <w:t xml:space="preserve">i </w:t>
      </w:r>
      <w:r>
        <w:rPr>
          <w:rFonts w:hint="eastAsia" w:ascii="宋体" w:hAnsi="Times New Roman" w:eastAsia="宋体" w:cs="Times New Roman"/>
          <w:color w:val="000000"/>
          <w:kern w:val="21"/>
          <w:sz w:val="24"/>
          <w:szCs w:val="24"/>
          <w:lang w:val="en-US" w:eastAsia="zh-CN" w:bidi="ar-SA"/>
        </w:rPr>
        <w:t>——第i种原材料的碳排放因子，单位为千克二氧化碳当量/千克（kgCO</w:t>
      </w:r>
      <w:r>
        <w:rPr>
          <w:rFonts w:hint="eastAsia" w:ascii="宋体" w:hAnsi="Times New Roman" w:eastAsia="宋体" w:cs="Times New Roman"/>
          <w:color w:val="000000"/>
          <w:kern w:val="21"/>
          <w:sz w:val="24"/>
          <w:szCs w:val="24"/>
          <w:vertAlign w:val="subscript"/>
          <w:lang w:val="en-US" w:eastAsia="zh-CN" w:bidi="ar-SA"/>
        </w:rPr>
        <w:t>2</w:t>
      </w:r>
      <w:r>
        <w:rPr>
          <w:rFonts w:hint="eastAsia" w:ascii="宋体" w:hAnsi="Times New Roman" w:eastAsia="宋体" w:cs="Times New Roman"/>
          <w:color w:val="000000"/>
          <w:kern w:val="21"/>
          <w:sz w:val="24"/>
          <w:szCs w:val="24"/>
          <w:lang w:val="en-US" w:eastAsia="zh-CN" w:bidi="ar-SA"/>
        </w:rPr>
        <w:t>e/kg）；</w:t>
      </w:r>
    </w:p>
    <w:p>
      <w:pPr>
        <w:widowControl w:val="0"/>
        <w:numPr>
          <w:ilvl w:val="0"/>
          <w:numId w:val="0"/>
        </w:numPr>
        <w:spacing w:before="0" w:beforeLines="0" w:after="0" w:afterLines="0" w:line="240" w:lineRule="auto"/>
        <w:ind w:firstLine="480" w:firstLineChars="200"/>
        <w:jc w:val="both"/>
        <w:outlineLvl w:val="9"/>
        <w:rPr>
          <w:rFonts w:ascii="宋体" w:hAnsi="Times New Roman" w:eastAsia="宋体" w:cs="Times New Roman"/>
          <w:color w:val="000000"/>
          <w:kern w:val="21"/>
          <w:sz w:val="24"/>
          <w:szCs w:val="24"/>
          <w:lang w:val="en-US" w:eastAsia="zh-CN" w:bidi="ar-SA"/>
        </w:rPr>
      </w:pPr>
      <w:r>
        <w:rPr>
          <w:rFonts w:hint="eastAsia" w:ascii="宋体" w:hAnsi="Times New Roman" w:eastAsia="宋体" w:cs="Times New Roman"/>
          <w:color w:val="000000"/>
          <w:kern w:val="21"/>
          <w:sz w:val="24"/>
          <w:szCs w:val="24"/>
          <w:lang w:val="en-US" w:eastAsia="zh-CN" w:bidi="ar-SA"/>
        </w:rPr>
        <w:t>i  ——原材料种类；</w:t>
      </w:r>
    </w:p>
    <w:p>
      <w:pPr>
        <w:widowControl w:val="0"/>
        <w:numPr>
          <w:ilvl w:val="0"/>
          <w:numId w:val="0"/>
        </w:numPr>
        <w:spacing w:before="0" w:beforeLines="0" w:after="0" w:afterLines="0" w:line="240" w:lineRule="auto"/>
        <w:ind w:firstLine="480" w:firstLineChars="200"/>
        <w:jc w:val="both"/>
        <w:outlineLvl w:val="9"/>
        <w:rPr>
          <w:rFonts w:ascii="宋体" w:hAnsi="Times New Roman" w:eastAsia="宋体" w:cs="Times New Roman"/>
          <w:color w:val="000000"/>
          <w:kern w:val="21"/>
          <w:sz w:val="24"/>
          <w:szCs w:val="24"/>
          <w:lang w:val="en-US" w:eastAsia="zh-CN" w:bidi="ar-SA"/>
        </w:rPr>
      </w:pPr>
      <w:r>
        <w:rPr>
          <w:rFonts w:hint="eastAsia" w:ascii="宋体" w:hAnsi="Times New Roman" w:eastAsia="宋体" w:cs="Times New Roman"/>
          <w:color w:val="000000"/>
          <w:kern w:val="21"/>
          <w:sz w:val="24"/>
          <w:szCs w:val="24"/>
          <w:lang w:val="en-US" w:eastAsia="zh-CN" w:bidi="ar-SA"/>
        </w:rPr>
        <w:t>M</w:t>
      </w:r>
      <w:r>
        <w:rPr>
          <w:rFonts w:hint="eastAsia" w:ascii="宋体" w:hAnsi="Times New Roman" w:eastAsia="宋体" w:cs="Times New Roman"/>
          <w:color w:val="000000"/>
          <w:kern w:val="21"/>
          <w:sz w:val="24"/>
          <w:szCs w:val="24"/>
          <w:vertAlign w:val="subscript"/>
          <w:lang w:val="en-US" w:eastAsia="zh-CN" w:bidi="ar-SA"/>
        </w:rPr>
        <w:t xml:space="preserve">i   </w:t>
      </w:r>
      <w:r>
        <w:rPr>
          <w:rFonts w:hint="eastAsia" w:ascii="宋体" w:hAnsi="Times New Roman" w:eastAsia="宋体" w:cs="Times New Roman"/>
          <w:color w:val="000000"/>
          <w:kern w:val="21"/>
          <w:sz w:val="24"/>
          <w:szCs w:val="24"/>
          <w:lang w:val="en-US" w:eastAsia="zh-CN" w:bidi="ar-SA"/>
        </w:rPr>
        <w:t>——单个组件产品中第i种原材料的用量，单位为千克（kg）；</w:t>
      </w:r>
    </w:p>
    <w:p>
      <w:pPr>
        <w:widowControl w:val="0"/>
        <w:numPr>
          <w:ilvl w:val="0"/>
          <w:numId w:val="0"/>
        </w:numPr>
        <w:spacing w:before="0" w:beforeLines="0" w:after="0" w:afterLines="0" w:line="240" w:lineRule="auto"/>
        <w:ind w:firstLine="480" w:firstLineChars="200"/>
        <w:jc w:val="both"/>
        <w:outlineLvl w:val="9"/>
        <w:rPr>
          <w:rFonts w:ascii="宋体" w:hAnsi="Times New Roman" w:eastAsia="宋体" w:cs="Times New Roman"/>
          <w:color w:val="000000"/>
          <w:kern w:val="21"/>
          <w:sz w:val="24"/>
          <w:szCs w:val="24"/>
          <w:lang w:val="en-US" w:eastAsia="zh-CN" w:bidi="ar-SA"/>
        </w:rPr>
      </w:pPr>
      <w:r>
        <w:rPr>
          <w:rFonts w:hint="eastAsia" w:ascii="宋体" w:hAnsi="Times New Roman" w:eastAsia="宋体" w:cs="Times New Roman"/>
          <w:color w:val="000000"/>
          <w:kern w:val="21"/>
          <w:sz w:val="24"/>
          <w:szCs w:val="24"/>
          <w:lang w:val="en-US" w:eastAsia="zh-CN" w:bidi="ar-SA"/>
        </w:rPr>
        <w:t>L</w:t>
      </w:r>
      <w:r>
        <w:rPr>
          <w:rFonts w:hint="eastAsia" w:ascii="宋体" w:hAnsi="Times New Roman" w:eastAsia="宋体" w:cs="Times New Roman"/>
          <w:color w:val="000000"/>
          <w:kern w:val="21"/>
          <w:sz w:val="24"/>
          <w:szCs w:val="24"/>
          <w:vertAlign w:val="subscript"/>
          <w:lang w:val="en-US" w:eastAsia="zh-CN" w:bidi="ar-SA"/>
        </w:rPr>
        <w:t xml:space="preserve">i   </w:t>
      </w:r>
      <w:r>
        <w:rPr>
          <w:rFonts w:hint="eastAsia" w:ascii="宋体" w:hAnsi="Times New Roman" w:eastAsia="宋体" w:cs="Times New Roman"/>
          <w:color w:val="000000"/>
          <w:kern w:val="21"/>
          <w:sz w:val="24"/>
          <w:szCs w:val="24"/>
          <w:lang w:val="en-US" w:eastAsia="zh-CN" w:bidi="ar-SA"/>
        </w:rPr>
        <w:t>——第i种原材料的运输距离，单位为公里（km）；</w:t>
      </w:r>
    </w:p>
    <w:p>
      <w:pPr>
        <w:widowControl w:val="0"/>
        <w:numPr>
          <w:ilvl w:val="0"/>
          <w:numId w:val="0"/>
        </w:numPr>
        <w:spacing w:before="0" w:beforeLines="0" w:after="0" w:afterLines="0" w:line="240" w:lineRule="auto"/>
        <w:ind w:firstLine="480" w:firstLineChars="200"/>
        <w:jc w:val="both"/>
        <w:outlineLvl w:val="9"/>
        <w:rPr>
          <w:rFonts w:ascii="宋体" w:hAnsi="Times New Roman" w:eastAsia="宋体" w:cs="Times New Roman"/>
          <w:color w:val="000000"/>
          <w:kern w:val="21"/>
          <w:sz w:val="24"/>
          <w:szCs w:val="24"/>
          <w:lang w:val="en-US" w:eastAsia="zh-CN" w:bidi="ar-SA"/>
        </w:rPr>
      </w:pPr>
      <w:r>
        <w:rPr>
          <w:rFonts w:hint="eastAsia" w:ascii="宋体" w:hAnsi="Times New Roman" w:eastAsia="宋体" w:cs="Times New Roman"/>
          <w:color w:val="000000"/>
          <w:kern w:val="21"/>
          <w:sz w:val="24"/>
          <w:szCs w:val="24"/>
          <w:lang w:val="en-US" w:eastAsia="zh-CN" w:bidi="ar-SA"/>
        </w:rPr>
        <w:t>k</w:t>
      </w:r>
      <w:r>
        <w:rPr>
          <w:rFonts w:hint="eastAsia" w:ascii="宋体" w:hAnsi="Times New Roman" w:eastAsia="宋体" w:cs="Times New Roman"/>
          <w:color w:val="000000"/>
          <w:kern w:val="21"/>
          <w:sz w:val="24"/>
          <w:szCs w:val="24"/>
          <w:vertAlign w:val="subscript"/>
          <w:lang w:val="en-US" w:eastAsia="zh-CN" w:bidi="ar-SA"/>
        </w:rPr>
        <w:t xml:space="preserve">i   </w:t>
      </w:r>
      <w:r>
        <w:rPr>
          <w:rFonts w:hint="eastAsia" w:ascii="宋体" w:hAnsi="Times New Roman" w:eastAsia="宋体" w:cs="Times New Roman"/>
          <w:color w:val="000000"/>
          <w:kern w:val="21"/>
          <w:sz w:val="24"/>
          <w:szCs w:val="24"/>
          <w:lang w:val="en-US" w:eastAsia="zh-CN" w:bidi="ar-SA"/>
        </w:rPr>
        <w:t>——第i种原材料的运输排放因子，单位为千克二氧化碳当量/（千克·公里）（kgCO</w:t>
      </w:r>
      <w:r>
        <w:rPr>
          <w:rFonts w:hint="eastAsia" w:ascii="宋体" w:hAnsi="Times New Roman" w:eastAsia="宋体" w:cs="Times New Roman"/>
          <w:color w:val="000000"/>
          <w:kern w:val="21"/>
          <w:sz w:val="24"/>
          <w:szCs w:val="24"/>
          <w:vertAlign w:val="subscript"/>
          <w:lang w:val="en-US" w:eastAsia="zh-CN" w:bidi="ar-SA"/>
        </w:rPr>
        <w:t>2</w:t>
      </w:r>
      <w:r>
        <w:rPr>
          <w:rFonts w:hint="eastAsia" w:ascii="宋体" w:hAnsi="Times New Roman" w:eastAsia="宋体" w:cs="Times New Roman"/>
          <w:color w:val="000000"/>
          <w:kern w:val="21"/>
          <w:sz w:val="24"/>
          <w:szCs w:val="24"/>
          <w:lang w:val="en-US" w:eastAsia="zh-CN" w:bidi="ar-SA"/>
        </w:rPr>
        <w:t>e·kg</w:t>
      </w:r>
      <w:r>
        <w:rPr>
          <w:rFonts w:hint="eastAsia" w:ascii="宋体" w:hAnsi="Times New Roman" w:eastAsia="宋体" w:cs="Times New Roman"/>
          <w:color w:val="000000"/>
          <w:kern w:val="21"/>
          <w:sz w:val="24"/>
          <w:szCs w:val="24"/>
          <w:vertAlign w:val="superscript"/>
          <w:lang w:val="en-US" w:eastAsia="zh-CN" w:bidi="ar-SA"/>
        </w:rPr>
        <w:t>-1</w:t>
      </w:r>
      <w:r>
        <w:rPr>
          <w:rFonts w:hint="eastAsia" w:ascii="宋体" w:hAnsi="Times New Roman" w:eastAsia="宋体" w:cs="Times New Roman"/>
          <w:color w:val="000000"/>
          <w:kern w:val="21"/>
          <w:sz w:val="24"/>
          <w:szCs w:val="24"/>
          <w:lang w:val="en-US" w:eastAsia="zh-CN" w:bidi="ar-SA"/>
        </w:rPr>
        <w:t>·km</w:t>
      </w:r>
      <w:r>
        <w:rPr>
          <w:rFonts w:hint="eastAsia" w:ascii="宋体" w:hAnsi="Times New Roman" w:eastAsia="宋体" w:cs="Times New Roman"/>
          <w:color w:val="000000"/>
          <w:kern w:val="21"/>
          <w:sz w:val="24"/>
          <w:szCs w:val="24"/>
          <w:vertAlign w:val="superscript"/>
          <w:lang w:val="en-US" w:eastAsia="zh-CN" w:bidi="ar-SA"/>
        </w:rPr>
        <w:t>-1</w:t>
      </w:r>
      <w:r>
        <w:rPr>
          <w:rFonts w:hint="eastAsia" w:ascii="宋体" w:hAnsi="Times New Roman" w:eastAsia="宋体" w:cs="Times New Roman"/>
          <w:color w:val="000000"/>
          <w:kern w:val="21"/>
          <w:sz w:val="24"/>
          <w:szCs w:val="24"/>
          <w:lang w:val="en-US" w:eastAsia="zh-CN" w:bidi="ar-SA"/>
        </w:rPr>
        <w:t>）；</w:t>
      </w:r>
    </w:p>
    <w:p>
      <w:pPr>
        <w:widowControl w:val="0"/>
        <w:numPr>
          <w:ilvl w:val="0"/>
          <w:numId w:val="0"/>
        </w:numPr>
        <w:spacing w:before="0" w:beforeLines="0" w:after="0" w:afterLines="0" w:line="240" w:lineRule="auto"/>
        <w:ind w:firstLine="480" w:firstLineChars="200"/>
        <w:jc w:val="both"/>
        <w:outlineLvl w:val="9"/>
        <w:rPr>
          <w:rFonts w:ascii="宋体" w:hAnsi="Times New Roman" w:eastAsia="宋体" w:cs="Times New Roman"/>
          <w:color w:val="000000"/>
          <w:kern w:val="21"/>
          <w:sz w:val="24"/>
          <w:szCs w:val="24"/>
          <w:lang w:val="en-US" w:eastAsia="zh-CN" w:bidi="ar-SA"/>
        </w:rPr>
      </w:pPr>
      <w:r>
        <w:rPr>
          <w:rFonts w:hint="eastAsia" w:ascii="宋体" w:hAnsi="Times New Roman" w:eastAsia="宋体" w:cs="Times New Roman"/>
          <w:color w:val="000000"/>
          <w:kern w:val="21"/>
          <w:sz w:val="24"/>
          <w:szCs w:val="24"/>
          <w:lang w:val="en-US" w:eastAsia="zh-CN" w:bidi="ar-SA"/>
        </w:rPr>
        <w:t>E</w:t>
      </w:r>
      <w:r>
        <w:rPr>
          <w:rFonts w:hint="eastAsia" w:ascii="宋体" w:hAnsi="Times New Roman" w:eastAsia="宋体" w:cs="Times New Roman"/>
          <w:color w:val="000000"/>
          <w:kern w:val="21"/>
          <w:sz w:val="24"/>
          <w:szCs w:val="24"/>
          <w:vertAlign w:val="subscript"/>
          <w:lang w:val="en-US" w:eastAsia="zh-CN" w:bidi="ar-SA"/>
        </w:rPr>
        <w:t xml:space="preserve">e   </w:t>
      </w:r>
      <w:r>
        <w:rPr>
          <w:rFonts w:hint="eastAsia" w:ascii="宋体" w:hAnsi="Times New Roman" w:eastAsia="宋体" w:cs="Times New Roman"/>
          <w:color w:val="000000"/>
          <w:kern w:val="21"/>
          <w:sz w:val="24"/>
          <w:szCs w:val="24"/>
          <w:lang w:val="en-US" w:eastAsia="zh-CN" w:bidi="ar-SA"/>
        </w:rPr>
        <w:t>——外购电力生产产生的碳排放量，单位为千克二氧化碳当量（kgCO</w:t>
      </w:r>
      <w:r>
        <w:rPr>
          <w:rFonts w:hint="eastAsia" w:ascii="宋体" w:hAnsi="Times New Roman" w:eastAsia="宋体" w:cs="Times New Roman"/>
          <w:color w:val="000000"/>
          <w:kern w:val="21"/>
          <w:sz w:val="24"/>
          <w:szCs w:val="24"/>
          <w:vertAlign w:val="subscript"/>
          <w:lang w:val="en-US" w:eastAsia="zh-CN" w:bidi="ar-SA"/>
        </w:rPr>
        <w:t>2</w:t>
      </w:r>
      <w:r>
        <w:rPr>
          <w:rFonts w:hint="eastAsia" w:ascii="宋体" w:hAnsi="Times New Roman" w:eastAsia="宋体" w:cs="Times New Roman"/>
          <w:color w:val="000000"/>
          <w:kern w:val="21"/>
          <w:sz w:val="24"/>
          <w:szCs w:val="24"/>
          <w:lang w:val="en-US" w:eastAsia="zh-CN" w:bidi="ar-SA"/>
        </w:rPr>
        <w:t>e）；</w:t>
      </w:r>
    </w:p>
    <w:p>
      <w:pPr>
        <w:widowControl w:val="0"/>
        <w:numPr>
          <w:ilvl w:val="0"/>
          <w:numId w:val="0"/>
        </w:numPr>
        <w:spacing w:before="0" w:beforeLines="0" w:after="0" w:afterLines="0" w:line="240" w:lineRule="auto"/>
        <w:ind w:firstLine="480" w:firstLineChars="200"/>
        <w:jc w:val="both"/>
        <w:outlineLvl w:val="9"/>
        <w:rPr>
          <w:rFonts w:hint="eastAsia" w:ascii="宋体" w:hAnsi="Times New Roman" w:eastAsia="宋体" w:cs="Times New Roman"/>
          <w:color w:val="000000"/>
          <w:kern w:val="21"/>
          <w:sz w:val="24"/>
          <w:szCs w:val="24"/>
          <w:lang w:val="en-US" w:eastAsia="zh-CN" w:bidi="ar-SA"/>
        </w:rPr>
      </w:pPr>
      <w:r>
        <w:rPr>
          <w:rFonts w:hint="eastAsia" w:ascii="宋体" w:hAnsi="Times New Roman" w:eastAsia="宋体" w:cs="Times New Roman"/>
          <w:color w:val="000000"/>
          <w:kern w:val="21"/>
          <w:sz w:val="24"/>
          <w:szCs w:val="24"/>
          <w:lang w:val="en-US" w:eastAsia="zh-CN" w:bidi="ar-SA"/>
        </w:rPr>
        <w:t>P</w:t>
      </w:r>
      <w:r>
        <w:rPr>
          <w:rFonts w:hint="eastAsia" w:ascii="宋体" w:hAnsi="Times New Roman" w:eastAsia="宋体" w:cs="Times New Roman"/>
          <w:color w:val="000000"/>
          <w:kern w:val="21"/>
          <w:sz w:val="24"/>
          <w:szCs w:val="24"/>
          <w:vertAlign w:val="subscript"/>
          <w:lang w:val="en-US" w:eastAsia="zh-CN" w:bidi="ar-SA"/>
        </w:rPr>
        <w:t xml:space="preserve">M   </w:t>
      </w:r>
      <w:r>
        <w:rPr>
          <w:rFonts w:hint="eastAsia" w:ascii="宋体" w:hAnsi="Times New Roman" w:eastAsia="宋体" w:cs="Times New Roman"/>
          <w:color w:val="000000"/>
          <w:kern w:val="21"/>
          <w:sz w:val="24"/>
          <w:szCs w:val="24"/>
          <w:lang w:val="en-US" w:eastAsia="zh-CN" w:bidi="ar-SA"/>
        </w:rPr>
        <w:t>——单个组件产品的标称功率，单位为千瓦（kW）。</w:t>
      </w:r>
    </w:p>
    <w:p>
      <w:pPr>
        <w:widowControl w:val="0"/>
        <w:numPr>
          <w:ilvl w:val="0"/>
          <w:numId w:val="0"/>
        </w:numPr>
        <w:spacing w:before="0" w:beforeLines="0" w:after="0" w:afterLines="0" w:line="240" w:lineRule="auto"/>
        <w:ind w:firstLine="480" w:firstLineChars="200"/>
        <w:jc w:val="both"/>
        <w:outlineLvl w:val="9"/>
        <w:rPr>
          <w:rFonts w:hint="default" w:ascii="宋体" w:hAnsi="Times New Roman" w:eastAsia="宋体" w:cs="Times New Roman"/>
          <w:color w:val="000000"/>
          <w:kern w:val="21"/>
          <w:sz w:val="24"/>
          <w:szCs w:val="24"/>
          <w:lang w:val="en-US" w:eastAsia="zh-CN" w:bidi="ar-SA"/>
        </w:rPr>
      </w:pPr>
      <w:r>
        <w:rPr>
          <w:rFonts w:hint="eastAsia" w:ascii="宋体" w:hAnsi="Times New Roman" w:eastAsia="宋体" w:cs="Times New Roman"/>
          <w:color w:val="000000"/>
          <w:kern w:val="21"/>
          <w:sz w:val="24"/>
          <w:szCs w:val="24"/>
          <w:lang w:val="en-US" w:eastAsia="zh-CN" w:bidi="ar-SA"/>
        </w:rPr>
        <w:t>k  ——组件功率修正系数，单面组件为1，双面组件为1.05。</w:t>
      </w:r>
    </w:p>
    <w:p>
      <w:pPr>
        <w:pStyle w:val="9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80" w:firstLineChars="200"/>
        <w:textAlignment w:val="auto"/>
        <w:outlineLvl w:val="0"/>
        <w:rPr>
          <w:rFonts w:hint="eastAsia" w:ascii="Times New Roman" w:hAnsi="Calibri" w:cs="Times New Roman"/>
          <w:sz w:val="24"/>
          <w:szCs w:val="24"/>
          <w:lang w:eastAsia="zh-CN"/>
        </w:rPr>
      </w:pPr>
    </w:p>
    <w:p>
      <w:pPr>
        <w:pStyle w:val="9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80" w:firstLineChars="200"/>
        <w:textAlignment w:val="auto"/>
        <w:outlineLvl w:val="0"/>
        <w:rPr>
          <w:rFonts w:hint="default" w:ascii="Times New Roman" w:hAnsi="Calibri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Calibri" w:cs="Times New Roman"/>
          <w:sz w:val="24"/>
          <w:szCs w:val="24"/>
          <w:lang w:eastAsia="zh-CN"/>
        </w:rPr>
        <w:t>通常双面组件和单面组件的标称功率均为正面功率，考虑到双面组件背面发电性能，以及背面发电对组件整体功率的增幅（</w:t>
      </w:r>
      <w:r>
        <w:rPr>
          <w:rFonts w:hint="eastAsia" w:ascii="Times New Roman" w:hAnsi="Calibri" w:cs="Times New Roman"/>
          <w:sz w:val="24"/>
          <w:szCs w:val="24"/>
          <w:lang w:val="en-US" w:eastAsia="zh-CN"/>
        </w:rPr>
        <w:t>5%左右</w:t>
      </w:r>
      <w:r>
        <w:rPr>
          <w:rFonts w:hint="eastAsia" w:ascii="Times New Roman" w:hAnsi="Calibri" w:cs="Times New Roman"/>
          <w:sz w:val="24"/>
          <w:szCs w:val="24"/>
          <w:lang w:eastAsia="zh-CN"/>
        </w:rPr>
        <w:t>），本文件为双面组件的功率设置了</w:t>
      </w:r>
      <w:r>
        <w:rPr>
          <w:rFonts w:hint="eastAsia" w:ascii="Times New Roman" w:hAnsi="Calibri" w:cs="Times New Roman"/>
          <w:sz w:val="24"/>
          <w:szCs w:val="24"/>
          <w:lang w:val="en-US" w:eastAsia="zh-CN"/>
        </w:rPr>
        <w:t>1.05的</w:t>
      </w:r>
      <w:r>
        <w:rPr>
          <w:rFonts w:hint="eastAsia" w:ascii="Times New Roman" w:hAnsi="Calibri" w:cs="Times New Roman"/>
          <w:sz w:val="24"/>
          <w:szCs w:val="24"/>
          <w:lang w:eastAsia="zh-CN"/>
        </w:rPr>
        <w:t>修正系数。</w:t>
      </w:r>
    </w:p>
    <w:p>
      <w:pPr>
        <w:pStyle w:val="9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80" w:firstLineChars="200"/>
        <w:textAlignment w:val="auto"/>
        <w:outlineLvl w:val="0"/>
        <w:rPr>
          <w:rFonts w:hint="eastAsia" w:ascii="Times New Roman" w:hAnsi="Calibri" w:eastAsia="宋体" w:cs="Times New Roman"/>
          <w:sz w:val="24"/>
          <w:szCs w:val="24"/>
        </w:rPr>
      </w:pPr>
    </w:p>
    <w:p>
      <w:pPr>
        <w:pStyle w:val="9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adjustRightInd/>
        <w:snapToGrid/>
        <w:spacing w:line="360" w:lineRule="auto"/>
        <w:ind w:firstLine="482" w:firstLineChars="200"/>
        <w:textAlignment w:val="auto"/>
        <w:outlineLvl w:val="0"/>
        <w:rPr>
          <w:rFonts w:hint="eastAsia" w:hAnsi="Times New Roman" w:cs="Times New Roman"/>
          <w:b/>
          <w:sz w:val="24"/>
          <w:szCs w:val="24"/>
        </w:rPr>
      </w:pPr>
      <w:r>
        <w:rPr>
          <w:rFonts w:hint="eastAsia" w:hAnsi="Times New Roman" w:cs="Times New Roman"/>
          <w:b/>
          <w:sz w:val="24"/>
          <w:szCs w:val="24"/>
          <w:lang w:eastAsia="zh-CN"/>
        </w:rPr>
        <w:t>三</w:t>
      </w:r>
      <w:r>
        <w:rPr>
          <w:rFonts w:hint="eastAsia" w:hAnsi="Times New Roman" w:cs="Times New Roman"/>
          <w:b/>
          <w:sz w:val="24"/>
          <w:szCs w:val="24"/>
        </w:rPr>
        <w:t>、主要试验（或验证）情况分析；</w:t>
      </w:r>
    </w:p>
    <w:p>
      <w:pPr>
        <w:pStyle w:val="9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textAlignment w:val="auto"/>
        <w:outlineLvl w:val="0"/>
        <w:rPr>
          <w:rFonts w:hint="eastAsia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/>
          <w:sz w:val="24"/>
          <w:szCs w:val="24"/>
          <w:lang w:val="en-US" w:eastAsia="zh-CN"/>
        </w:rPr>
        <w:t>确定光伏组件低碳产品的单位产品二氧化碳排放量评估值</w:t>
      </w:r>
    </w:p>
    <w:p>
      <w:pPr>
        <w:pStyle w:val="9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textAlignment w:val="auto"/>
        <w:outlineLvl w:val="0"/>
        <w:rPr>
          <w:rFonts w:hint="default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/>
          <w:sz w:val="24"/>
          <w:szCs w:val="24"/>
          <w:lang w:val="en-US" w:eastAsia="zh-CN"/>
        </w:rPr>
        <w:t>确定</w:t>
      </w:r>
      <w:r>
        <w:rPr>
          <w:rFonts w:hint="default" w:cs="Times New Roman"/>
          <w:b w:val="0"/>
          <w:bCs/>
          <w:sz w:val="24"/>
          <w:szCs w:val="24"/>
          <w:lang w:val="en-US" w:eastAsia="zh-CN"/>
        </w:rPr>
        <w:t>不同材料的碳排放因子</w:t>
      </w:r>
      <w:r>
        <w:rPr>
          <w:rFonts w:hint="eastAsia" w:cs="Times New Roman"/>
          <w:b w:val="0"/>
          <w:bCs/>
          <w:sz w:val="24"/>
          <w:szCs w:val="24"/>
          <w:lang w:val="en-US" w:eastAsia="zh-CN"/>
        </w:rPr>
        <w:t>缺省值</w:t>
      </w:r>
    </w:p>
    <w:p>
      <w:pPr>
        <w:pStyle w:val="9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textAlignment w:val="auto"/>
        <w:outlineLvl w:val="0"/>
        <w:rPr>
          <w:rFonts w:hint="default" w:cs="Times New Roman"/>
          <w:b w:val="0"/>
          <w:bCs/>
          <w:sz w:val="24"/>
          <w:szCs w:val="24"/>
          <w:lang w:val="en-US" w:eastAsia="zh-CN"/>
        </w:rPr>
      </w:pPr>
    </w:p>
    <w:p>
      <w:pPr>
        <w:pStyle w:val="9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adjustRightInd/>
        <w:snapToGrid/>
        <w:spacing w:line="360" w:lineRule="auto"/>
        <w:ind w:firstLine="482" w:firstLineChars="200"/>
        <w:textAlignment w:val="auto"/>
        <w:outlineLvl w:val="0"/>
        <w:rPr>
          <w:rFonts w:hint="default" w:hAnsi="Times New Roman" w:eastAsia="宋体" w:cs="Times New Roman"/>
          <w:b/>
          <w:sz w:val="24"/>
          <w:szCs w:val="24"/>
          <w:lang w:val="en-US" w:eastAsia="zh-CN"/>
        </w:rPr>
      </w:pPr>
      <w:r>
        <w:rPr>
          <w:rFonts w:hint="eastAsia" w:hAnsi="Times New Roman" w:cs="Times New Roman"/>
          <w:b/>
          <w:sz w:val="24"/>
          <w:szCs w:val="24"/>
          <w:lang w:eastAsia="zh-CN"/>
        </w:rPr>
        <w:t>四</w:t>
      </w:r>
      <w:r>
        <w:rPr>
          <w:rFonts w:hint="eastAsia" w:hAnsi="Times New Roman" w:cs="Times New Roman"/>
          <w:b/>
          <w:sz w:val="24"/>
          <w:szCs w:val="24"/>
        </w:rPr>
        <w:t>、</w:t>
      </w:r>
      <w:r>
        <w:rPr>
          <w:rFonts w:hint="eastAsia" w:cs="Times New Roman"/>
          <w:b/>
          <w:sz w:val="24"/>
          <w:szCs w:val="24"/>
          <w:lang w:val="en-US" w:eastAsia="zh-CN"/>
        </w:rPr>
        <w:t>知识产权情况</w:t>
      </w:r>
    </w:p>
    <w:p>
      <w:pPr>
        <w:pStyle w:val="9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textAlignment w:val="auto"/>
        <w:outlineLvl w:val="0"/>
        <w:rPr>
          <w:rFonts w:hint="default" w:hAnsi="Times New Roman" w:eastAsia="宋体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/>
          <w:sz w:val="24"/>
          <w:szCs w:val="24"/>
          <w:lang w:val="en-US" w:eastAsia="zh-CN"/>
        </w:rPr>
        <w:t>本文文件未涉及专利。</w:t>
      </w:r>
    </w:p>
    <w:p>
      <w:pPr>
        <w:pStyle w:val="9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adjustRightInd/>
        <w:snapToGrid/>
        <w:spacing w:line="360" w:lineRule="auto"/>
        <w:ind w:firstLine="482" w:firstLineChars="200"/>
        <w:textAlignment w:val="auto"/>
        <w:outlineLvl w:val="0"/>
        <w:rPr>
          <w:rFonts w:hint="eastAsia" w:hAnsi="Times New Roman" w:cs="Times New Roman"/>
          <w:b/>
          <w:sz w:val="24"/>
          <w:szCs w:val="24"/>
        </w:rPr>
      </w:pPr>
      <w:r>
        <w:rPr>
          <w:rFonts w:hint="eastAsia" w:ascii="宋体" w:hAnsi="Times New Roman" w:eastAsia="宋体" w:cs="Times New Roman"/>
          <w:b/>
          <w:kern w:val="0"/>
          <w:sz w:val="24"/>
          <w:szCs w:val="24"/>
          <w:lang w:val="en-US" w:eastAsia="zh-CN" w:bidi="ar-SA"/>
        </w:rPr>
        <w:t>五、</w:t>
      </w:r>
      <w:r>
        <w:rPr>
          <w:rFonts w:hint="eastAsia" w:hAnsi="Times New Roman" w:cs="Times New Roman"/>
          <w:b/>
          <w:sz w:val="24"/>
          <w:szCs w:val="24"/>
        </w:rPr>
        <w:t>产业化情况、推广应用论证和预期达到的经济效果等情况</w:t>
      </w:r>
    </w:p>
    <w:p>
      <w:pPr>
        <w:pStyle w:val="9"/>
        <w:keepNext w:val="0"/>
        <w:keepLines w:val="0"/>
        <w:pageBreakBefore w:val="0"/>
        <w:tabs>
          <w:tab w:val="center" w:pos="4201"/>
          <w:tab w:val="right" w:leader="dot" w:pos="9298"/>
        </w:tabs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Times New Roman" w:hAnsi="Calibri" w:cs="Times New Roman"/>
          <w:sz w:val="24"/>
          <w:szCs w:val="24"/>
          <w:lang w:eastAsia="zh-CN"/>
        </w:rPr>
      </w:pPr>
      <w:r>
        <w:rPr>
          <w:rFonts w:hint="eastAsia" w:ascii="Times New Roman" w:hAnsi="Calibri" w:cs="Times New Roman"/>
          <w:sz w:val="24"/>
          <w:szCs w:val="24"/>
          <w:lang w:eastAsia="zh-CN"/>
        </w:rPr>
        <w:t>我国光伏产业产量和装机量均位居全球首位，作为助力双碳目标实现的主力军，光伏行业本身的低碳发展十分重要。在“双碳”目标下，光伏产业成为能源革命、能源转型的主力军，必将迎来更加飞速的发展，作为清洁绿色能源，保障其全生命周期内的绿色低碳，使得清洁能源更加清洁具有重要意义，将极大助力我国实现“双碳”目标。因此</w:t>
      </w:r>
      <w:r>
        <w:rPr>
          <w:rFonts w:hint="eastAsia" w:ascii="Times New Roman" w:hAnsi="Calibri" w:cs="Times New Roman"/>
          <w:sz w:val="24"/>
          <w:szCs w:val="24"/>
          <w:lang w:val="en-US" w:eastAsia="zh-CN"/>
        </w:rPr>
        <w:t>本文件的制定有利于</w:t>
      </w:r>
      <w:r>
        <w:rPr>
          <w:rFonts w:hint="eastAsia" w:ascii="Times New Roman" w:hAnsi="Calibri" w:cs="Times New Roman"/>
          <w:sz w:val="24"/>
          <w:szCs w:val="24"/>
          <w:lang w:eastAsia="zh-CN"/>
        </w:rPr>
        <w:t>规范和指导光伏组件的低碳发展。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2" w:firstLineChars="200"/>
        <w:textAlignment w:val="auto"/>
        <w:outlineLvl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宋体" w:cs="Times New Roman"/>
          <w:b/>
          <w:kern w:val="0"/>
          <w:sz w:val="24"/>
          <w:szCs w:val="24"/>
          <w:lang w:val="en-US" w:eastAsia="zh-CN" w:bidi="ar-SA"/>
        </w:rPr>
        <w:t>六、</w:t>
      </w:r>
      <w:r>
        <w:rPr>
          <w:rFonts w:hint="eastAsia" w:ascii="宋体" w:hAnsi="Times New Roman" w:eastAsia="宋体" w:cs="Times New Roman"/>
          <w:b/>
          <w:kern w:val="0"/>
          <w:sz w:val="24"/>
          <w:szCs w:val="24"/>
          <w:lang w:val="en-US" w:eastAsia="zh-CN" w:bidi="ar-SA"/>
        </w:rPr>
        <w:t>与国际、国外有关法律法规和标准水平的对比分析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Calibri" w:eastAsia="宋体" w:cs="Times New Roman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Calibri" w:eastAsia="宋体" w:cs="Times New Roman"/>
          <w:kern w:val="0"/>
          <w:sz w:val="24"/>
          <w:szCs w:val="24"/>
          <w:lang w:val="en-US" w:eastAsia="zh-CN" w:bidi="ar-SA"/>
        </w:rPr>
        <w:t>国际上广泛应用于产品的碳足迹核算标准有PAS 2050:2008、GHG protocol和ISO 14067：2018。其中PAS 2050:2008 是全世界第一个产品碳足迹核算标准、GHG protocol是世界资源研究所和世界可持续发展工商理事会正式发布的标准，是要求最为详细的碳足迹核算标准。ISO 14067由国际标准化组织发布，该标准被认为是更具普遍性的标准，提供了最基本的要求与指导。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2" w:firstLineChars="200"/>
        <w:textAlignment w:val="auto"/>
        <w:outlineLvl w:val="0"/>
        <w:rPr>
          <w:rFonts w:hint="eastAsia" w:ascii="宋体" w:hAnsi="Times New Roman" w:eastAsia="宋体" w:cs="Times New Roman"/>
          <w:b/>
          <w:kern w:val="0"/>
          <w:sz w:val="24"/>
          <w:szCs w:val="24"/>
          <w:lang w:val="en-US" w:eastAsia="zh-CN" w:bidi="ar-SA"/>
        </w:rPr>
      </w:pPr>
      <w:r>
        <w:rPr>
          <w:rFonts w:hint="eastAsia" w:ascii="宋体" w:eastAsia="宋体" w:cs="Times New Roman"/>
          <w:b/>
          <w:kern w:val="0"/>
          <w:sz w:val="24"/>
          <w:szCs w:val="24"/>
          <w:lang w:val="en-US" w:eastAsia="zh-CN" w:bidi="ar-SA"/>
        </w:rPr>
        <w:t>七</w:t>
      </w:r>
      <w:r>
        <w:rPr>
          <w:rFonts w:hint="eastAsia" w:ascii="宋体" w:hAnsi="Times New Roman" w:eastAsia="宋体" w:cs="Times New Roman"/>
          <w:b/>
          <w:kern w:val="0"/>
          <w:sz w:val="24"/>
          <w:szCs w:val="24"/>
          <w:lang w:val="en-US" w:eastAsia="zh-CN" w:bidi="ar-SA"/>
        </w:rPr>
        <w:t>、与现行有关法律、法规和标准的关系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Calibri" w:eastAsia="宋体" w:cs="Times New Roman"/>
          <w:kern w:val="2"/>
          <w:sz w:val="24"/>
          <w:szCs w:val="24"/>
          <w:lang w:val="en-US" w:eastAsia="zh-CN" w:bidi="ar-SA"/>
        </w:rPr>
        <w:t>与有关的现行法律、法规和强制性标准</w:t>
      </w:r>
      <w:r>
        <w:rPr>
          <w:rFonts w:hint="eastAsia" w:ascii="Times New Roman" w:hAnsi="Calibri" w:cs="Times New Roman"/>
          <w:kern w:val="2"/>
          <w:sz w:val="24"/>
          <w:szCs w:val="24"/>
          <w:lang w:val="en-US" w:eastAsia="zh-CN" w:bidi="ar-SA"/>
        </w:rPr>
        <w:t>协调一致</w:t>
      </w:r>
      <w:r>
        <w:rPr>
          <w:rFonts w:hint="eastAsia" w:ascii="Times New Roman" w:hAnsi="Calibri" w:eastAsia="宋体" w:cs="Times New Roman"/>
          <w:kern w:val="2"/>
          <w:sz w:val="24"/>
          <w:szCs w:val="24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2" w:firstLineChars="200"/>
        <w:textAlignment w:val="auto"/>
        <w:outlineLvl w:val="0"/>
        <w:rPr>
          <w:rFonts w:hint="eastAsia" w:ascii="宋体" w:hAnsi="Times New Roman" w:eastAsia="宋体" w:cs="Times New Roman"/>
          <w:b/>
          <w:kern w:val="0"/>
          <w:sz w:val="24"/>
          <w:szCs w:val="24"/>
          <w:lang w:val="en-US" w:eastAsia="zh-CN" w:bidi="ar-SA"/>
        </w:rPr>
      </w:pPr>
      <w:r>
        <w:rPr>
          <w:rFonts w:hint="eastAsia" w:ascii="宋体" w:eastAsia="宋体" w:cs="Times New Roman"/>
          <w:b/>
          <w:kern w:val="0"/>
          <w:sz w:val="24"/>
          <w:szCs w:val="24"/>
          <w:lang w:val="en-US" w:eastAsia="zh-CN" w:bidi="ar-SA"/>
        </w:rPr>
        <w:t>八</w:t>
      </w:r>
      <w:r>
        <w:rPr>
          <w:rFonts w:hint="eastAsia" w:ascii="宋体" w:hAnsi="Times New Roman" w:eastAsia="宋体" w:cs="Times New Roman"/>
          <w:b/>
          <w:kern w:val="0"/>
          <w:sz w:val="24"/>
          <w:szCs w:val="24"/>
          <w:lang w:val="en-US" w:eastAsia="zh-CN" w:bidi="ar-SA"/>
        </w:rPr>
        <w:t>、重大分歧意见的处理过程及依据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textAlignment w:val="auto"/>
        <w:outlineLvl w:val="0"/>
        <w:rPr>
          <w:rFonts w:hint="eastAsia" w:ascii="Times New Roman" w:hAnsi="Calibri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Calibri" w:cs="Times New Roman"/>
          <w:kern w:val="2"/>
          <w:sz w:val="24"/>
          <w:szCs w:val="24"/>
          <w:lang w:val="en-US" w:eastAsia="zh-CN" w:bidi="ar-SA"/>
        </w:rPr>
        <w:t>本文件无重大分歧。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2" w:firstLineChars="200"/>
        <w:textAlignment w:val="auto"/>
        <w:outlineLvl w:val="0"/>
        <w:rPr>
          <w:rFonts w:hint="eastAsia" w:ascii="宋体" w:hAnsi="Times New Roman" w:eastAsia="宋体" w:cs="Times New Roman"/>
          <w:b/>
          <w:kern w:val="0"/>
          <w:sz w:val="24"/>
          <w:szCs w:val="24"/>
          <w:lang w:val="en-US" w:eastAsia="zh-CN" w:bidi="ar-SA"/>
        </w:rPr>
      </w:pPr>
      <w:r>
        <w:rPr>
          <w:rFonts w:hint="eastAsia" w:ascii="宋体" w:eastAsia="宋体" w:cs="Times New Roman"/>
          <w:b/>
          <w:kern w:val="0"/>
          <w:sz w:val="24"/>
          <w:szCs w:val="24"/>
          <w:lang w:val="en-US" w:eastAsia="zh-CN" w:bidi="ar-SA"/>
        </w:rPr>
        <w:t>九</w:t>
      </w:r>
      <w:r>
        <w:rPr>
          <w:rFonts w:hint="eastAsia" w:ascii="宋体" w:hAnsi="Times New Roman" w:eastAsia="宋体" w:cs="Times New Roman"/>
          <w:b/>
          <w:kern w:val="0"/>
          <w:sz w:val="24"/>
          <w:szCs w:val="24"/>
          <w:lang w:val="en-US" w:eastAsia="zh-CN" w:bidi="ar-SA"/>
        </w:rPr>
        <w:t>、贯彻标准的要求和措施建议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Calibri" w:cs="Times New Roman"/>
          <w:kern w:val="2"/>
          <w:sz w:val="24"/>
          <w:szCs w:val="24"/>
          <w:lang w:val="en-US" w:eastAsia="zh-CN" w:bidi="ar-SA"/>
        </w:rPr>
        <w:t>建议标准发布6个月后实施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2" w:firstLineChars="200"/>
        <w:textAlignment w:val="auto"/>
        <w:outlineLvl w:val="0"/>
        <w:rPr>
          <w:rFonts w:hint="eastAsia" w:ascii="宋体" w:hAnsi="Times New Roman" w:eastAsia="宋体" w:cs="Times New Roman"/>
          <w:b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Times New Roman" w:eastAsia="宋体" w:cs="Times New Roman"/>
          <w:b/>
          <w:kern w:val="0"/>
          <w:sz w:val="24"/>
          <w:szCs w:val="24"/>
          <w:lang w:val="en-US" w:eastAsia="zh-CN" w:bidi="ar-SA"/>
        </w:rPr>
        <w:t>十、替代或废止现行相关标准的建议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Calibri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Calibri" w:cs="Times New Roman"/>
          <w:kern w:val="2"/>
          <w:sz w:val="24"/>
          <w:szCs w:val="24"/>
          <w:lang w:val="en-US" w:eastAsia="zh-CN" w:bidi="ar-SA"/>
        </w:rPr>
        <w:t>本文件为首次制定，无替代标准。</w:t>
      </w:r>
    </w:p>
    <w:p/>
    <w:p>
      <w:pPr>
        <w:pStyle w:val="3"/>
        <w:spacing w:before="0" w:beforeAutospacing="0" w:after="0" w:afterAutospacing="0" w:line="360" w:lineRule="auto"/>
        <w:ind w:firstLine="484" w:firstLineChars="202"/>
        <w:textAlignment w:val="baseline"/>
        <w:rPr>
          <w:rFonts w:hint="eastAsia" w:ascii="Times New Roman" w:hAnsi="Calibri" w:eastAsia="宋体" w:cs="Times New Roman"/>
          <w:kern w:val="2"/>
          <w:sz w:val="24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50F90"/>
    <w:multiLevelType w:val="multilevel"/>
    <w:tmpl w:val="44C50F90"/>
    <w:lvl w:ilvl="0" w:tentative="0">
      <w:start w:val="1"/>
      <w:numFmt w:val="lowerLetter"/>
      <w:pStyle w:val="17"/>
      <w:lvlText w:val="%1)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sz w:val="21"/>
      </w:rPr>
    </w:lvl>
    <w:lvl w:ilvl="1" w:tentative="0">
      <w:start w:val="1"/>
      <w:numFmt w:val="decimal"/>
      <w:lvlText w:val="%2)"/>
      <w:lvlJc w:val="left"/>
      <w:pPr>
        <w:tabs>
          <w:tab w:val="left" w:pos="1276"/>
        </w:tabs>
        <w:ind w:left="1276" w:hanging="425"/>
      </w:pPr>
      <w:rPr>
        <w:rFonts w:hint="eastAsia" w:ascii="宋体" w:hAnsi="Times New Roman" w:eastAsia="宋体"/>
        <w:sz w:val="21"/>
      </w:rPr>
    </w:lvl>
    <w:lvl w:ilvl="2" w:tentative="0">
      <w:start w:val="1"/>
      <w:numFmt w:val="decimal"/>
      <w:lvlText w:val="(%3)"/>
      <w:lvlJc w:val="left"/>
      <w:pPr>
        <w:ind w:left="1701" w:hanging="425"/>
      </w:pPr>
      <w:rPr>
        <w:rFonts w:hint="eastAsia" w:ascii="宋体" w:hAnsi="Times New Roman" w:eastAsia="宋体"/>
        <w:sz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">
    <w:nsid w:val="646260FA"/>
    <w:multiLevelType w:val="multilevel"/>
    <w:tmpl w:val="646260FA"/>
    <w:lvl w:ilvl="0" w:tentative="0">
      <w:start w:val="1"/>
      <w:numFmt w:val="decimal"/>
      <w:pStyle w:val="11"/>
      <w:suff w:val="nothing"/>
      <w:lvlText w:val="表%1　"/>
      <w:lvlJc w:val="left"/>
      <w:pPr>
        <w:ind w:left="0" w:firstLine="0"/>
      </w:p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</w:lvl>
    <w:lvl w:ilvl="2" w:tentative="0">
      <w:start w:val="1"/>
      <w:numFmt w:val="decimal"/>
      <w:lvlText w:val="%1.%2.%3"/>
      <w:lvlJc w:val="left"/>
      <w:pPr>
        <w:tabs>
          <w:tab w:val="left" w:pos="1417"/>
        </w:tabs>
        <w:ind w:left="1417" w:hanging="567"/>
      </w:p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2">
    <w:nsid w:val="657D3FBC"/>
    <w:multiLevelType w:val="multilevel"/>
    <w:tmpl w:val="657D3FBC"/>
    <w:lvl w:ilvl="0" w:tentative="0">
      <w:start w:val="1"/>
      <w:numFmt w:val="upperLetter"/>
      <w:suff w:val="nothing"/>
      <w:lvlText w:val="附录%1"/>
      <w:lvlJc w:val="left"/>
      <w:pPr>
        <w:ind w:left="0" w:firstLine="0"/>
      </w:pPr>
      <w:rPr>
        <w:rFonts w:hint="eastAsia"/>
        <w:spacing w:val="100"/>
      </w:rPr>
    </w:lvl>
    <w:lvl w:ilvl="1" w:tentative="0">
      <w:start w:val="1"/>
      <w:numFmt w:val="decimal"/>
      <w:pStyle w:val="14"/>
      <w:suff w:val="nothing"/>
      <w:lvlText w:val="%1.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NGIyMWYwMTcwM2U3OTBjMDdkNzVkZThhZWI1NWIifQ=="/>
  </w:docVars>
  <w:rsids>
    <w:rsidRoot w:val="00172A27"/>
    <w:rsid w:val="01D24EFD"/>
    <w:rsid w:val="0E020E2B"/>
    <w:rsid w:val="12320D66"/>
    <w:rsid w:val="14501F2D"/>
    <w:rsid w:val="1C6601D3"/>
    <w:rsid w:val="1F3E2D63"/>
    <w:rsid w:val="21F044D7"/>
    <w:rsid w:val="25DB6B4F"/>
    <w:rsid w:val="2672446D"/>
    <w:rsid w:val="297D300C"/>
    <w:rsid w:val="29FC53BC"/>
    <w:rsid w:val="2AA95885"/>
    <w:rsid w:val="30086444"/>
    <w:rsid w:val="35154C30"/>
    <w:rsid w:val="36A24F04"/>
    <w:rsid w:val="380C5F55"/>
    <w:rsid w:val="38F10F0E"/>
    <w:rsid w:val="41A1668C"/>
    <w:rsid w:val="427E65DC"/>
    <w:rsid w:val="47180F0C"/>
    <w:rsid w:val="47605C07"/>
    <w:rsid w:val="481F6F8D"/>
    <w:rsid w:val="4AC8794F"/>
    <w:rsid w:val="4C9A5DAB"/>
    <w:rsid w:val="4D5D7A89"/>
    <w:rsid w:val="4E1958C4"/>
    <w:rsid w:val="4E762480"/>
    <w:rsid w:val="4F6D4222"/>
    <w:rsid w:val="4FC869F8"/>
    <w:rsid w:val="51D034F9"/>
    <w:rsid w:val="53097894"/>
    <w:rsid w:val="60300502"/>
    <w:rsid w:val="60810A7D"/>
    <w:rsid w:val="612D15C3"/>
    <w:rsid w:val="63B94967"/>
    <w:rsid w:val="672147BC"/>
    <w:rsid w:val="6A5C0F4B"/>
    <w:rsid w:val="6BA90AC5"/>
    <w:rsid w:val="6DB148A0"/>
    <w:rsid w:val="6E170BEF"/>
    <w:rsid w:val="6E4106AC"/>
    <w:rsid w:val="70073621"/>
    <w:rsid w:val="755828A5"/>
    <w:rsid w:val="7EF7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paragraph" w:customStyle="1" w:styleId="9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styleId="10">
    <w:name w:val="List Paragraph"/>
    <w:basedOn w:val="1"/>
    <w:qFormat/>
    <w:uiPriority w:val="1"/>
    <w:pPr>
      <w:spacing w:before="1"/>
      <w:ind w:left="558" w:hanging="421"/>
    </w:pPr>
    <w:rPr>
      <w:rFonts w:ascii="宋体" w:hAnsi="宋体" w:eastAsia="宋体" w:cs="宋体"/>
      <w:lang w:val="zh-CN" w:eastAsia="zh-CN" w:bidi="zh-CN"/>
    </w:rPr>
  </w:style>
  <w:style w:type="paragraph" w:customStyle="1" w:styleId="11">
    <w:name w:val="标准文件_正文表标题"/>
    <w:next w:val="12"/>
    <w:qFormat/>
    <w:uiPriority w:val="0"/>
    <w:pPr>
      <w:numPr>
        <w:ilvl w:val="0"/>
        <w:numId w:val="1"/>
      </w:numPr>
      <w:tabs>
        <w:tab w:val="left" w:pos="0"/>
      </w:tabs>
      <w:spacing w:before="50" w:beforeLines="50" w:after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3">
    <w:name w:val="标准文件_附录一级无标题"/>
    <w:basedOn w:val="14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14">
    <w:name w:val="标准文件_附录一级条标题"/>
    <w:next w:val="12"/>
    <w:qFormat/>
    <w:uiPriority w:val="0"/>
    <w:pPr>
      <w:widowControl w:val="0"/>
      <w:numPr>
        <w:ilvl w:val="1"/>
        <w:numId w:val="2"/>
      </w:numPr>
      <w:spacing w:before="50" w:beforeLines="50" w:after="50" w:afterLines="50"/>
      <w:jc w:val="both"/>
      <w:outlineLvl w:val="2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5">
    <w:name w:val="标准文件_正文公式"/>
    <w:basedOn w:val="1"/>
    <w:next w:val="16"/>
    <w:qFormat/>
    <w:uiPriority w:val="0"/>
    <w:pPr>
      <w:tabs>
        <w:tab w:val="center" w:pos="4678"/>
        <w:tab w:val="right" w:leader="middleDot" w:pos="9356"/>
      </w:tabs>
      <w:spacing w:line="240" w:lineRule="auto"/>
    </w:pPr>
    <w:rPr>
      <w:rFonts w:ascii="宋体" w:hAnsi="宋体"/>
    </w:rPr>
  </w:style>
  <w:style w:type="paragraph" w:customStyle="1" w:styleId="16">
    <w:name w:val="标准文件_标准正文"/>
    <w:basedOn w:val="1"/>
    <w:next w:val="12"/>
    <w:qFormat/>
    <w:uiPriority w:val="0"/>
    <w:pPr>
      <w:snapToGrid w:val="0"/>
      <w:ind w:firstLine="200" w:firstLineChars="200"/>
    </w:pPr>
    <w:rPr>
      <w:kern w:val="0"/>
    </w:rPr>
  </w:style>
  <w:style w:type="paragraph" w:customStyle="1" w:styleId="17">
    <w:name w:val="标准文件_字母编号列项（一级）"/>
    <w:qFormat/>
    <w:uiPriority w:val="0"/>
    <w:pPr>
      <w:numPr>
        <w:ilvl w:val="0"/>
        <w:numId w:val="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1760</Words>
  <Characters>1932</Characters>
  <Lines>0</Lines>
  <Paragraphs>0</Paragraphs>
  <TotalTime>0</TotalTime>
  <ScaleCrop>false</ScaleCrop>
  <LinksUpToDate>false</LinksUpToDate>
  <CharactersWithSpaces>1959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2021-10-25T09:54:00Z</dcterms:created>
  <dc:creator>Administrator</dc:creator>
  <cp:lastModifiedBy>cesirohs</cp:lastModifiedBy>
  <cp:lastPrinted>2021-10-26T00:52:00Z</cp:lastPrinted>
  <dcterms:modified xsi:type="dcterms:W3CDTF">2023-06-29T02:11:31Z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7CA9D424C6E74FBC8C2AAD43FA4D463A</vt:lpwstr>
  </property>
</Properties>
</file>