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highlight w:val="none"/>
              </w:rPr>
            </w:pPr>
            <w:r>
              <w:rPr>
                <w:rFonts w:ascii="黑体" w:hAnsi="黑体" w:eastAsia="黑体"/>
                <w:sz w:val="21"/>
                <w:szCs w:val="21"/>
                <w:highlight w:val="none"/>
              </w:rPr>
              <w:t xml:space="preserve">ICS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highlight w:val="none"/>
              </w:rPr>
            </w:pPr>
            <w:r>
              <w:rPr>
                <w:rFonts w:ascii="黑体" w:hAnsi="黑体" w:eastAsia="黑体"/>
                <w:sz w:val="21"/>
                <w:szCs w:val="21"/>
                <w:highlight w:val="none"/>
              </w:rPr>
              <w:fldChar w:fldCharType="begin">
                <w:ffData>
                  <w:name w:val="ICS"/>
                  <w:enabled/>
                  <w:calcOnExit w:val="0"/>
                  <w:textInput>
                    <w:default w:val="点击此处添加ICS号"/>
                  </w:textInput>
                </w:ffData>
              </w:fldChar>
            </w:r>
            <w:bookmarkStart w:id="0" w:name="ICS"/>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ascii="黑体" w:hAnsi="黑体" w:eastAsia="黑体"/>
                <w:sz w:val="21"/>
                <w:szCs w:val="21"/>
                <w:highlight w:val="none"/>
              </w:rPr>
              <w:t>点击此处添加ICS号</w:t>
            </w:r>
            <w:r>
              <w:rPr>
                <w:rFonts w:ascii="黑体" w:hAnsi="黑体" w:eastAsia="黑体"/>
                <w:sz w:val="21"/>
                <w:szCs w:val="21"/>
                <w:highlight w:val="none"/>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ascii="黑体" w:hAnsi="黑体" w:eastAsia="黑体"/>
                <w:sz w:val="21"/>
                <w:szCs w:val="21"/>
                <w:highlight w:val="none"/>
              </w:rPr>
              <w:t xml:space="preserve">CCS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1"/>
                    <w:framePr w:wrap="notBeside" w:vAnchor="page" w:hAnchor="page" w:x="1372" w:y="568"/>
                    <w:spacing w:line="240" w:lineRule="auto"/>
                    <w:ind w:left="420" w:right="624"/>
                    <w:rPr>
                      <w:rFonts w:ascii="黑体" w:hAnsi="黑体" w:eastAsia="黑体"/>
                      <w:sz w:val="28"/>
                      <w:szCs w:val="28"/>
                      <w:highlight w:val="none"/>
                    </w:rPr>
                  </w:pPr>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ascii="黑体" w:hAnsi="黑体" w:eastAsia="黑体"/>
                <w:sz w:val="21"/>
                <w:szCs w:val="21"/>
                <w:highlight w:val="none"/>
              </w:rPr>
              <w:fldChar w:fldCharType="begin">
                <w:ffData>
                  <w:name w:val="CSDN"/>
                  <w:enabled/>
                  <w:calcOnExit w:val="0"/>
                  <w:textInput>
                    <w:default w:val="点击此处添加CCS号"/>
                  </w:textInput>
                </w:ffData>
              </w:fldChar>
            </w:r>
            <w:bookmarkStart w:id="1" w:name="CSDN"/>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ascii="黑体" w:hAnsi="黑体" w:eastAsia="黑体"/>
                <w:sz w:val="21"/>
                <w:szCs w:val="21"/>
                <w:highlight w:val="none"/>
              </w:rPr>
              <w:t>点击此处添加CCS号</w:t>
            </w:r>
            <w:r>
              <w:rPr>
                <w:rFonts w:ascii="黑体" w:hAnsi="黑体" w:eastAsia="黑体"/>
                <w:sz w:val="21"/>
                <w:szCs w:val="21"/>
                <w:highlight w:val="none"/>
              </w:rPr>
              <w:fldChar w:fldCharType="end"/>
            </w:r>
            <w:bookmarkEnd w:id="1"/>
          </w:p>
        </w:tc>
      </w:tr>
    </w:tbl>
    <w:p>
      <w:pPr>
        <w:pStyle w:val="52"/>
        <w:framePr w:w="9639" w:h="1054" w:hRule="exact" w:hSpace="181" w:vSpace="181" w:wrap="around" w:hAnchor="page" w:x="1305" w:y="2269"/>
        <w:spacing w:line="240" w:lineRule="auto"/>
        <w:ind w:right="817" w:rightChars="389"/>
        <w:rPr>
          <w:rFonts w:ascii="黑体" w:hAnsi="黑体" w:eastAsia="黑体"/>
          <w:b w:val="0"/>
          <w:bCs w:val="0"/>
          <w:w w:val="100"/>
          <w:sz w:val="84"/>
          <w:szCs w:val="84"/>
          <w:highlight w:val="none"/>
        </w:rPr>
      </w:pPr>
      <w:bookmarkStart w:id="2" w:name="_Hlk26473981"/>
      <w:r>
        <w:rPr>
          <w:rFonts w:hint="eastAsia" w:ascii="黑体" w:eastAsia="黑体"/>
          <w:b w:val="0"/>
          <w:w w:val="100"/>
          <w:sz w:val="84"/>
          <w:szCs w:val="84"/>
          <w:highlight w:val="none"/>
        </w:rPr>
        <w:t xml:space="preserve"> 团体</w:t>
      </w:r>
      <w:r>
        <w:rPr>
          <w:rFonts w:hint="eastAsia" w:ascii="黑体" w:hAnsi="黑体" w:eastAsia="黑体"/>
          <w:b w:val="0"/>
          <w:bCs w:val="0"/>
          <w:w w:val="100"/>
          <w:sz w:val="84"/>
          <w:szCs w:val="84"/>
          <w:highlight w:val="none"/>
        </w:rPr>
        <w:t xml:space="preserve">标准 </w:t>
      </w:r>
    </w:p>
    <w:bookmarkEnd w:id="2"/>
    <w:p>
      <w:pPr>
        <w:pStyle w:val="197"/>
        <w:framePr w:wrap="around" w:x="1431" w:y="3469"/>
        <w:spacing w:line="240" w:lineRule="auto"/>
        <w:rPr>
          <w:highlight w:val="none"/>
        </w:rPr>
      </w:pPr>
      <w:r>
        <w:rPr>
          <w:highlight w:val="none"/>
        </w:rPr>
        <w:t xml:space="preserve">T/CPIA </w:t>
      </w:r>
      <w:r>
        <w:rPr>
          <w:highlight w:val="none"/>
        </w:rPr>
        <w:fldChar w:fldCharType="begin">
          <w:ffData>
            <w:name w:val="NSTD_CODE_F"/>
            <w:enabled/>
            <w:calcOnExit w:val="0"/>
            <w:textInput>
              <w:default w:val="XXXX"/>
            </w:textInput>
          </w:ffData>
        </w:fldChar>
      </w:r>
      <w:bookmarkStart w:id="3" w:name="NSTD_CODE_F"/>
      <w:r>
        <w:rPr>
          <w:highlight w:val="none"/>
        </w:rPr>
        <w:instrText xml:space="preserve"> FORMTEXT </w:instrText>
      </w:r>
      <w:r>
        <w:rPr>
          <w:highlight w:val="none"/>
        </w:rPr>
        <w:fldChar w:fldCharType="separate"/>
      </w:r>
      <w:r>
        <w:rPr>
          <w:highlight w:val="none"/>
        </w:rPr>
        <w:t>XXXX</w:t>
      </w:r>
      <w:r>
        <w:rPr>
          <w:highlight w:val="none"/>
        </w:rPr>
        <w:fldChar w:fldCharType="end"/>
      </w:r>
      <w:bookmarkEnd w:id="3"/>
      <w:r>
        <w:rPr>
          <w:rFonts w:hAnsi="黑体"/>
          <w:highlight w:val="none"/>
        </w:rPr>
        <w:t>—</w:t>
      </w:r>
      <w:r>
        <w:rPr>
          <w:highlight w:val="none"/>
        </w:rPr>
        <w:t>202X</w:t>
      </w:r>
    </w:p>
    <w:p>
      <w:pPr>
        <w:pStyle w:val="198"/>
        <w:framePr w:wrap="around" w:x="1431" w:y="3469"/>
        <w:spacing w:line="240" w:lineRule="auto"/>
        <w:rPr>
          <w:rFonts w:hAnsi="黑体"/>
          <w:highlight w:val="none"/>
        </w:rPr>
      </w:pPr>
      <w:r>
        <w:rPr>
          <w:rFonts w:hAnsi="黑体"/>
          <w:highlight w:val="none"/>
        </w:rPr>
        <w:fldChar w:fldCharType="begin">
          <w:ffData>
            <w:name w:val="OSTD_CODE"/>
            <w:enabled/>
            <w:calcOnExit w:val="0"/>
            <w:textInput/>
          </w:ffData>
        </w:fldChar>
      </w:r>
      <w:bookmarkStart w:id="4" w:name="OSTD_CODE"/>
      <w:r>
        <w:rPr>
          <w:rFonts w:hAnsi="黑体"/>
          <w:highlight w:val="none"/>
        </w:rPr>
        <w:instrText xml:space="preserve"> FORMTEXT </w:instrText>
      </w:r>
      <w:r>
        <w:rPr>
          <w:rFonts w:hAnsi="黑体"/>
          <w:highlight w:val="none"/>
        </w:rPr>
        <w:fldChar w:fldCharType="separate"/>
      </w:r>
      <w:r>
        <w:rPr>
          <w:rFonts w:hAnsi="黑体"/>
          <w:highlight w:val="none"/>
        </w:rPr>
        <w:t>     </w:t>
      </w:r>
      <w:r>
        <w:rPr>
          <w:rFonts w:hAnsi="黑体"/>
          <w:highlight w:val="none"/>
        </w:rPr>
        <w:fldChar w:fldCharType="end"/>
      </w:r>
      <w:bookmarkEnd w:id="4"/>
    </w:p>
    <w:p>
      <w:pPr>
        <w:spacing w:line="240" w:lineRule="auto"/>
        <w:rPr>
          <w:rFonts w:ascii="黑体" w:hAnsi="黑体" w:eastAsia="黑体"/>
          <w:kern w:val="0"/>
          <w:sz w:val="10"/>
          <w:szCs w:val="10"/>
          <w:highlight w:val="none"/>
        </w:rPr>
      </w:pPr>
      <w:r>
        <w:rPr>
          <w:rFonts w:ascii="黑体" w:hAnsi="黑体"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2"/>
        <w:framePr w:w="9639" w:h="6976" w:hRule="exact" w:hSpace="0" w:vSpace="0" w:wrap="around" w:hAnchor="page" w:y="6408"/>
        <w:spacing w:line="240" w:lineRule="auto"/>
        <w:jc w:val="center"/>
        <w:rPr>
          <w:rFonts w:ascii="黑体" w:hAnsi="黑体" w:eastAsia="黑体"/>
          <w:b w:val="0"/>
          <w:bCs w:val="0"/>
          <w:w w:val="100"/>
          <w:highlight w:val="none"/>
        </w:rPr>
      </w:pPr>
    </w:p>
    <w:p>
      <w:pPr>
        <w:pStyle w:val="199"/>
        <w:framePr w:h="6974" w:hRule="exact" w:wrap="around" w:x="1419" w:anchorLock="1"/>
        <w:spacing w:line="240" w:lineRule="auto"/>
        <w:rPr>
          <w:highlight w:val="none"/>
        </w:rPr>
      </w:pPr>
      <w:bookmarkStart w:id="5" w:name="CSTD_NAME"/>
      <w:r>
        <w:rPr>
          <w:rFonts w:ascii="黑体" w:hAnsi="黑体" w:eastAsia="黑体" w:cs="Times New Roman"/>
          <w:bCs/>
          <w:sz w:val="52"/>
          <w:highlight w:val="none"/>
          <w:lang w:val="en-US" w:eastAsia="zh-CN" w:bidi="ar-SA"/>
        </w:rPr>
        <w:fldChar w:fldCharType="begin">
          <w:ffData>
            <w:name w:val="CSTD_NAME"/>
            <w:enabled/>
            <w:calcOnExit w:val="0"/>
            <w:textInput>
              <w:default w:val="光伏发电站通信设备运行维护指南"/>
            </w:textInput>
          </w:ffData>
        </w:fldChar>
      </w:r>
      <w:r>
        <w:rPr>
          <w:rFonts w:ascii="黑体" w:hAnsi="黑体" w:eastAsia="黑体" w:cs="Times New Roman"/>
          <w:bCs/>
          <w:sz w:val="52"/>
          <w:highlight w:val="none"/>
          <w:lang w:val="en-US" w:eastAsia="zh-CN" w:bidi="ar-SA"/>
        </w:rPr>
        <w:instrText xml:space="preserve">FORMTEXT</w:instrText>
      </w:r>
      <w:r>
        <w:rPr>
          <w:rFonts w:ascii="黑体" w:hAnsi="黑体" w:eastAsia="黑体" w:cs="Times New Roman"/>
          <w:bCs/>
          <w:sz w:val="52"/>
          <w:highlight w:val="none"/>
          <w:lang w:val="en-US" w:eastAsia="zh-CN" w:bidi="ar-SA"/>
        </w:rPr>
        <w:fldChar w:fldCharType="separate"/>
      </w:r>
      <w:r>
        <w:rPr>
          <w:rFonts w:ascii="黑体" w:hAnsi="黑体" w:eastAsia="黑体" w:cs="Times New Roman"/>
          <w:bCs/>
          <w:sz w:val="52"/>
          <w:highlight w:val="none"/>
          <w:lang w:val="en-US" w:eastAsia="zh-CN" w:bidi="ar-SA"/>
        </w:rPr>
        <w:t>光伏发电站通信设备运行维护指南</w:t>
      </w:r>
      <w:r>
        <w:rPr>
          <w:rFonts w:ascii="黑体" w:hAnsi="黑体" w:eastAsia="黑体" w:cs="Times New Roman"/>
          <w:bCs/>
          <w:sz w:val="52"/>
          <w:highlight w:val="none"/>
          <w:lang w:val="en-US" w:eastAsia="zh-CN" w:bidi="ar-SA"/>
        </w:rPr>
        <w:fldChar w:fldCharType="end"/>
      </w:r>
      <w:bookmarkEnd w:id="5"/>
    </w:p>
    <w:p>
      <w:pPr>
        <w:framePr w:w="9639" w:h="6974" w:hRule="exact" w:wrap="around" w:vAnchor="page" w:hAnchor="page" w:x="1419" w:y="6408" w:anchorLock="1"/>
        <w:spacing w:line="240" w:lineRule="auto"/>
        <w:ind w:left="-1418"/>
        <w:rPr>
          <w:highlight w:val="none"/>
        </w:rPr>
      </w:pPr>
    </w:p>
    <w:p>
      <w:pPr>
        <w:pStyle w:val="127"/>
        <w:framePr w:w="9639" w:h="6974" w:hRule="exact" w:wrap="around" w:vAnchor="page" w:hAnchor="page" w:x="1419" w:y="6408" w:anchorLock="1"/>
        <w:spacing w:line="240" w:lineRule="auto"/>
        <w:textAlignment w:val="bottom"/>
        <w:rPr>
          <w:rFonts w:eastAsia="黑体"/>
          <w:szCs w:val="28"/>
          <w:highlight w:val="none"/>
        </w:rPr>
      </w:pPr>
      <w:bookmarkStart w:id="6" w:name="ESTD_NAME"/>
      <w:r>
        <w:rPr>
          <w:rFonts w:hint="eastAsia" w:ascii="黑体" w:hAnsi="黑体" w:eastAsia="黑体" w:cs="黑体"/>
          <w:sz w:val="28"/>
          <w:szCs w:val="28"/>
          <w:highlight w:val="none"/>
          <w:lang w:val="en-US" w:eastAsia="zh-CN" w:bidi="ar-SA"/>
        </w:rPr>
        <w:fldChar w:fldCharType="begin">
          <w:ffData>
            <w:name w:val="ESTD_NAME"/>
            <w:enabled/>
            <w:calcOnExit w:val="0"/>
            <w:textInput>
              <w:default w:val="Guidance on operation and maintenance of photovoltaic power station communication equipment"/>
            </w:textInput>
          </w:ffData>
        </w:fldChar>
      </w:r>
      <w:r>
        <w:rPr>
          <w:rFonts w:hint="eastAsia" w:ascii="黑体" w:hAnsi="黑体" w:eastAsia="黑体" w:cs="黑体"/>
          <w:sz w:val="28"/>
          <w:szCs w:val="28"/>
          <w:highlight w:val="none"/>
          <w:lang w:val="en-US" w:eastAsia="zh-CN" w:bidi="ar-SA"/>
        </w:rPr>
        <w:instrText xml:space="preserve">FORMTEXT</w:instrText>
      </w:r>
      <w:r>
        <w:rPr>
          <w:rFonts w:hint="eastAsia" w:ascii="黑体" w:hAnsi="黑体" w:eastAsia="黑体" w:cs="黑体"/>
          <w:sz w:val="28"/>
          <w:szCs w:val="28"/>
          <w:highlight w:val="none"/>
          <w:lang w:val="en-US" w:eastAsia="zh-CN" w:bidi="ar-SA"/>
        </w:rPr>
        <w:fldChar w:fldCharType="separate"/>
      </w:r>
      <w:r>
        <w:rPr>
          <w:rFonts w:hint="eastAsia" w:ascii="黑体" w:hAnsi="黑体" w:eastAsia="黑体" w:cs="黑体"/>
          <w:sz w:val="28"/>
          <w:szCs w:val="28"/>
          <w:highlight w:val="none"/>
          <w:lang w:val="en-US" w:eastAsia="zh-CN" w:bidi="ar-SA"/>
        </w:rPr>
        <w:t>Guidance on operation and maintenance of photovoltaic power station communication equipment</w:t>
      </w:r>
      <w:r>
        <w:rPr>
          <w:rFonts w:hint="eastAsia" w:ascii="黑体" w:hAnsi="黑体" w:eastAsia="黑体" w:cs="黑体"/>
          <w:sz w:val="28"/>
          <w:szCs w:val="28"/>
          <w:highlight w:val="none"/>
          <w:lang w:val="en-US" w:eastAsia="zh-CN" w:bidi="ar-SA"/>
        </w:rPr>
        <w:fldChar w:fldCharType="end"/>
      </w:r>
      <w:bookmarkEnd w:id="6"/>
    </w:p>
    <w:p>
      <w:pPr>
        <w:framePr w:w="9639" w:h="6974" w:hRule="exact" w:wrap="around" w:vAnchor="page" w:hAnchor="page" w:x="1419" w:y="6408" w:anchorLock="1"/>
        <w:spacing w:line="240" w:lineRule="auto"/>
        <w:ind w:left="-1418"/>
        <w:rPr>
          <w:highlight w:val="none"/>
        </w:rPr>
      </w:pPr>
    </w:p>
    <w:p>
      <w:pPr>
        <w:pStyle w:val="127"/>
        <w:framePr w:w="9639" w:h="6974" w:hRule="exact" w:wrap="around" w:vAnchor="page" w:hAnchor="page" w:x="1419" w:y="6408" w:anchorLock="1"/>
        <w:spacing w:line="240" w:lineRule="auto"/>
        <w:textAlignment w:val="bottom"/>
        <w:rPr>
          <w:rFonts w:hint="eastAsia" w:eastAsia="黑体"/>
          <w:szCs w:val="28"/>
          <w:highlight w:val="none"/>
          <w:lang w:eastAsia="zh-CN"/>
        </w:rPr>
      </w:pPr>
    </w:p>
    <w:p>
      <w:pPr>
        <w:pStyle w:val="127"/>
        <w:framePr w:w="9639" w:h="6974" w:hRule="exact" w:wrap="around" w:vAnchor="page" w:hAnchor="page" w:x="1419" w:y="6408" w:anchorLock="1"/>
        <w:spacing w:before="440" w:after="160" w:line="240" w:lineRule="auto"/>
        <w:textAlignment w:val="bottom"/>
        <w:rPr>
          <w:sz w:val="24"/>
          <w:szCs w:val="28"/>
          <w:highlight w:val="none"/>
        </w:rPr>
      </w:pPr>
    </w:p>
    <w:p>
      <w:pPr>
        <w:pStyle w:val="127"/>
        <w:framePr w:w="9639" w:h="6974" w:hRule="exact" w:wrap="around" w:vAnchor="page" w:hAnchor="page" w:x="1419" w:y="6408" w:anchorLock="1"/>
        <w:spacing w:before="180" w:line="240" w:lineRule="auto"/>
        <w:textAlignment w:val="bottom"/>
        <w:rPr>
          <w:b/>
          <w:sz w:val="21"/>
          <w:szCs w:val="28"/>
          <w:highlight w:val="none"/>
        </w:rPr>
      </w:pPr>
    </w:p>
    <w:p>
      <w:pPr>
        <w:pStyle w:val="195"/>
        <w:framePr w:wrap="around" w:y="14176"/>
        <w:rPr>
          <w:highlight w:val="none"/>
        </w:rPr>
      </w:pPr>
      <w:r>
        <w:rPr>
          <w:rFonts w:ascii="黑体"/>
          <w:highlight w:val="none"/>
        </w:rPr>
        <w:fldChar w:fldCharType="begin">
          <w:ffData>
            <w:name w:val="PLSH_DATE_Y"/>
            <w:enabled/>
            <w:calcOnExit w:val="0"/>
            <w:textInput>
              <w:default w:val="XXXX"/>
              <w:maxLength w:val="4"/>
            </w:textInput>
          </w:ffData>
        </w:fldChar>
      </w:r>
      <w:bookmarkStart w:id="7" w:name="PLSH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7"/>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M"/>
            <w:enabled/>
            <w:calcOnExit w:val="0"/>
            <w:textInput>
              <w:default w:val="XX"/>
              <w:maxLength w:val="2"/>
            </w:textInput>
          </w:ffData>
        </w:fldChar>
      </w:r>
      <w:bookmarkStart w:id="8" w:name="PLSH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8"/>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D"/>
            <w:enabled/>
            <w:calcOnExit w:val="0"/>
            <w:textInput>
              <w:default w:val="XX"/>
              <w:maxLength w:val="2"/>
            </w:textInput>
          </w:ffData>
        </w:fldChar>
      </w:r>
      <w:bookmarkStart w:id="9" w:name="PLSH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9"/>
      <w:r>
        <w:rPr>
          <w:rFonts w:hint="eastAsia"/>
          <w:highlight w:val="none"/>
        </w:rPr>
        <w:t>发布</w:t>
      </w:r>
    </w:p>
    <w:p>
      <w:pPr>
        <w:pStyle w:val="196"/>
        <w:framePr w:wrap="around" w:y="14176"/>
        <w:rPr>
          <w:highlight w:val="none"/>
        </w:rPr>
      </w:pPr>
      <w:r>
        <w:rPr>
          <w:rFonts w:ascii="黑体"/>
          <w:highlight w:val="none"/>
        </w:rPr>
        <w:fldChar w:fldCharType="begin">
          <w:ffData>
            <w:name w:val="CROT_DATE_Y"/>
            <w:enabled/>
            <w:calcOnExit w:val="0"/>
            <w:textInput>
              <w:default w:val="XXXX"/>
              <w:maxLength w:val="4"/>
            </w:textInput>
          </w:ffData>
        </w:fldChar>
      </w:r>
      <w:bookmarkStart w:id="10" w:name="CROT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0"/>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M"/>
            <w:enabled/>
            <w:calcOnExit w:val="0"/>
            <w:textInput>
              <w:default w:val="XX"/>
              <w:maxLength w:val="2"/>
            </w:textInput>
          </w:ffData>
        </w:fldChar>
      </w:r>
      <w:bookmarkStart w:id="11" w:name="CROT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1"/>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D"/>
            <w:enabled/>
            <w:calcOnExit w:val="0"/>
            <w:textInput>
              <w:default w:val="XX"/>
              <w:maxLength w:val="2"/>
            </w:textInput>
          </w:ffData>
        </w:fldChar>
      </w:r>
      <w:bookmarkStart w:id="12" w:name="CROT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2"/>
      <w:r>
        <w:rPr>
          <w:rFonts w:hint="eastAsia"/>
          <w:highlight w:val="none"/>
        </w:rPr>
        <w:t>实施</w:t>
      </w:r>
    </w:p>
    <w:p>
      <w:pPr>
        <w:pStyle w:val="153"/>
        <w:framePr w:h="584" w:hRule="exact" w:hSpace="181" w:vSpace="181" w:wrap="around" w:y="14800"/>
        <w:spacing w:line="240" w:lineRule="auto"/>
        <w:rPr>
          <w:rFonts w:hAnsi="黑体"/>
          <w:highlight w:val="none"/>
        </w:rPr>
      </w:pPr>
      <w:r>
        <w:rPr>
          <w:rFonts w:hAnsi="黑体"/>
          <w:w w:val="100"/>
          <w:sz w:val="28"/>
          <w:highlight w:val="none"/>
        </w:rPr>
        <w:fldChar w:fldCharType="begin">
          <w:ffData>
            <w:name w:val="fm"/>
            <w:enabled/>
            <w:calcOnExit w:val="0"/>
            <w:textInput/>
          </w:ffData>
        </w:fldChar>
      </w:r>
      <w:bookmarkStart w:id="13" w:name="fm"/>
      <w:r>
        <w:rPr>
          <w:rFonts w:hAnsi="黑体"/>
          <w:w w:val="100"/>
          <w:sz w:val="28"/>
          <w:highlight w:val="none"/>
        </w:rPr>
        <w:instrText xml:space="preserve"> FORMTEXT </w:instrText>
      </w:r>
      <w:r>
        <w:rPr>
          <w:rFonts w:hAnsi="黑体"/>
          <w:w w:val="100"/>
          <w:sz w:val="28"/>
          <w:highlight w:val="none"/>
        </w:rPr>
        <w:fldChar w:fldCharType="separate"/>
      </w:r>
      <w:r>
        <w:rPr>
          <w:rFonts w:hAnsi="黑体"/>
          <w:w w:val="100"/>
          <w:sz w:val="28"/>
          <w:highlight w:val="none"/>
        </w:rPr>
        <w:t>     </w:t>
      </w:r>
      <w:r>
        <w:rPr>
          <w:rFonts w:hAnsi="黑体"/>
          <w:w w:val="100"/>
          <w:sz w:val="28"/>
          <w:highlight w:val="none"/>
        </w:rPr>
        <w:fldChar w:fldCharType="end"/>
      </w:r>
      <w:bookmarkEnd w:id="13"/>
      <w:r>
        <w:rPr>
          <w:rFonts w:ascii="Times New Roman"/>
          <w:w w:val="100"/>
          <w:sz w:val="28"/>
          <w:highlight w:val="none"/>
        </w:rPr>
        <w:t>  </w:t>
      </w:r>
      <w:r>
        <w:rPr>
          <w:rStyle w:val="231"/>
          <w:rFonts w:hint="eastAsia" w:hAnsi="黑体"/>
          <w:position w:val="0"/>
          <w:highlight w:val="none"/>
        </w:rPr>
        <w:t>发</w:t>
      </w:r>
      <w:r>
        <w:rPr>
          <w:rStyle w:val="231"/>
          <w:rFonts w:hint="eastAsia" w:hAnsi="黑体"/>
          <w:spacing w:val="0"/>
          <w:position w:val="0"/>
          <w:highlight w:val="none"/>
        </w:rPr>
        <w:t>布</w:t>
      </w:r>
    </w:p>
    <w:p>
      <w:pPr>
        <w:spacing w:line="240" w:lineRule="auto"/>
        <w:rPr>
          <w:rFonts w:ascii="宋体" w:hAnsi="宋体"/>
          <w:sz w:val="28"/>
          <w:szCs w:val="28"/>
          <w:highlight w:val="none"/>
        </w:rPr>
        <w:sectPr>
          <w:headerReference r:id="rId4" w:type="first"/>
          <w:footerReference r:id="rId6" w:type="first"/>
          <w:headerReference r:id="rId3" w:type="default"/>
          <w:footerReference r:id="rId5"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3"/>
        <w:spacing w:after="360"/>
        <w:rPr>
          <w:rFonts w:hint="eastAsia"/>
          <w:highlight w:val="none"/>
        </w:rPr>
      </w:pPr>
      <w:bookmarkStart w:id="14" w:name="BookMark1"/>
      <w:bookmarkStart w:id="15" w:name="_Toc79504496"/>
      <w:bookmarkStart w:id="16" w:name="_Toc79045634"/>
      <w:bookmarkStart w:id="17" w:name="_Toc14189"/>
      <w:r>
        <w:rPr>
          <w:rFonts w:hint="eastAsia"/>
          <w:spacing w:val="320"/>
          <w:highlight w:val="none"/>
        </w:rPr>
        <w:t>目</w:t>
      </w:r>
      <w:r>
        <w:rPr>
          <w:rFonts w:hint="eastAsia"/>
          <w:highlight w:val="none"/>
        </w:rPr>
        <w:t>次</w:t>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TOC \o "1-1" \h \t "标准文件_一级条标题,2,标准文件_附录一级条标题,2," </w:instrText>
      </w:r>
      <w:r>
        <w:rPr>
          <w:rFonts w:hint="eastAsia" w:ascii="宋体" w:hAnsi="宋体" w:eastAsia="宋体" w:cs="宋体"/>
          <w:highlight w:val="none"/>
        </w:rPr>
        <w:fldChar w:fldCharType="separate"/>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_Toc30175 </w:instrText>
      </w:r>
      <w:r>
        <w:rPr>
          <w:rFonts w:hint="eastAsia" w:ascii="宋体" w:hAnsi="宋体" w:eastAsia="宋体" w:cs="宋体"/>
          <w:highlight w:val="none"/>
        </w:rPr>
        <w:fldChar w:fldCharType="separate"/>
      </w:r>
      <w:r>
        <w:rPr>
          <w:rFonts w:hint="eastAsia" w:ascii="宋体" w:hAnsi="宋体" w:eastAsia="宋体" w:cs="宋体"/>
          <w:highlight w:val="none"/>
        </w:rPr>
        <w:t>前言</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_Toc30175 \h </w:instrText>
      </w:r>
      <w:r>
        <w:rPr>
          <w:rFonts w:hint="eastAsia" w:ascii="宋体" w:hAnsi="宋体" w:eastAsia="宋体" w:cs="宋体"/>
          <w:highlight w:val="none"/>
        </w:rPr>
        <w:fldChar w:fldCharType="separate"/>
      </w:r>
      <w:r>
        <w:rPr>
          <w:rFonts w:hint="eastAsia" w:ascii="宋体" w:hAnsi="宋体" w:eastAsia="宋体" w:cs="宋体"/>
          <w:highlight w:val="none"/>
        </w:rPr>
        <w:t>III</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_Toc16253 </w:instrText>
      </w:r>
      <w:r>
        <w:rPr>
          <w:rFonts w:hint="eastAsia" w:ascii="宋体" w:hAnsi="宋体" w:eastAsia="宋体" w:cs="宋体"/>
          <w:highlight w:val="none"/>
        </w:rPr>
        <w:fldChar w:fldCharType="separate"/>
      </w:r>
      <w:r>
        <w:rPr>
          <w:rFonts w:hint="eastAsia" w:ascii="宋体" w:hAnsi="宋体" w:eastAsia="宋体" w:cs="宋体"/>
          <w:highlight w:val="none"/>
        </w:rPr>
        <w:t>引言</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_Toc16253 \h </w:instrText>
      </w:r>
      <w:r>
        <w:rPr>
          <w:rFonts w:hint="eastAsia" w:ascii="宋体" w:hAnsi="宋体" w:eastAsia="宋体" w:cs="宋体"/>
          <w:highlight w:val="none"/>
        </w:rPr>
        <w:fldChar w:fldCharType="separate"/>
      </w:r>
      <w:r>
        <w:rPr>
          <w:rFonts w:hint="eastAsia" w:ascii="宋体" w:hAnsi="宋体" w:eastAsia="宋体" w:cs="宋体"/>
          <w:highlight w:val="none"/>
        </w:rPr>
        <w:t>IV</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_Toc28500 </w:instrText>
      </w:r>
      <w:r>
        <w:rPr>
          <w:rFonts w:hint="eastAsia" w:ascii="宋体" w:hAnsi="宋体" w:eastAsia="宋体" w:cs="宋体"/>
          <w:highlight w:val="none"/>
        </w:rPr>
        <w:fldChar w:fldCharType="separate"/>
      </w:r>
      <w:r>
        <w:rPr>
          <w:rFonts w:hint="eastAsia" w:ascii="宋体" w:hAnsi="宋体" w:eastAsia="宋体" w:cs="宋体"/>
          <w:i w:val="0"/>
          <w:highlight w:val="none"/>
        </w:rPr>
        <w:t>1</w:t>
      </w:r>
      <w:r>
        <w:rPr>
          <w:rFonts w:hint="eastAsia" w:hAnsi="宋体" w:cs="宋体"/>
          <w:i w:val="0"/>
          <w:highlight w:val="none"/>
          <w:lang w:val="en-US" w:eastAsia="zh-CN"/>
        </w:rPr>
        <w:t xml:space="preserve"> </w:t>
      </w:r>
      <w:r>
        <w:rPr>
          <w:rFonts w:hint="eastAsia" w:ascii="宋体" w:hAnsi="宋体" w:eastAsia="宋体" w:cs="宋体"/>
          <w:i w:val="0"/>
          <w:highlight w:val="none"/>
        </w:rPr>
        <w:t xml:space="preserve"> </w:t>
      </w:r>
      <w:r>
        <w:rPr>
          <w:rFonts w:hint="eastAsia" w:ascii="宋体" w:hAnsi="宋体" w:eastAsia="宋体" w:cs="宋体"/>
          <w:highlight w:val="none"/>
        </w:rPr>
        <w:t>范围</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_Toc28500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_Toc7087 </w:instrText>
      </w:r>
      <w:r>
        <w:rPr>
          <w:rFonts w:hint="eastAsia" w:ascii="宋体" w:hAnsi="宋体" w:eastAsia="宋体" w:cs="宋体"/>
          <w:highlight w:val="none"/>
        </w:rPr>
        <w:fldChar w:fldCharType="separate"/>
      </w:r>
      <w:r>
        <w:rPr>
          <w:rFonts w:hint="eastAsia" w:ascii="宋体" w:hAnsi="宋体" w:eastAsia="宋体" w:cs="宋体"/>
          <w:i w:val="0"/>
          <w:highlight w:val="none"/>
        </w:rPr>
        <w:t>2</w:t>
      </w:r>
      <w:r>
        <w:rPr>
          <w:rFonts w:hint="eastAsia" w:hAnsi="宋体" w:cs="宋体"/>
          <w:i w:val="0"/>
          <w:highlight w:val="none"/>
          <w:lang w:val="en-US" w:eastAsia="zh-CN"/>
        </w:rPr>
        <w:t xml:space="preserve"> </w:t>
      </w:r>
      <w:r>
        <w:rPr>
          <w:rFonts w:hint="eastAsia" w:ascii="宋体" w:hAnsi="宋体" w:eastAsia="宋体" w:cs="宋体"/>
          <w:i w:val="0"/>
          <w:highlight w:val="none"/>
        </w:rPr>
        <w:t xml:space="preserve"> </w:t>
      </w:r>
      <w:r>
        <w:rPr>
          <w:rFonts w:hint="eastAsia" w:ascii="宋体" w:hAnsi="宋体" w:eastAsia="宋体" w:cs="宋体"/>
          <w:highlight w:val="none"/>
        </w:rPr>
        <w:t>规范性引用文件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_Toc7087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_Toc32042 </w:instrText>
      </w:r>
      <w:r>
        <w:rPr>
          <w:rFonts w:hint="eastAsia" w:ascii="宋体" w:hAnsi="宋体" w:eastAsia="宋体" w:cs="宋体"/>
          <w:highlight w:val="none"/>
        </w:rPr>
        <w:fldChar w:fldCharType="separate"/>
      </w:r>
      <w:r>
        <w:rPr>
          <w:rFonts w:hint="eastAsia" w:ascii="宋体" w:hAnsi="宋体" w:eastAsia="宋体" w:cs="宋体"/>
          <w:i w:val="0"/>
          <w:szCs w:val="21"/>
          <w:highlight w:val="none"/>
        </w:rPr>
        <w:t>3</w:t>
      </w:r>
      <w:r>
        <w:rPr>
          <w:rFonts w:hint="eastAsia" w:hAnsi="宋体" w:cs="宋体"/>
          <w:i w:val="0"/>
          <w:szCs w:val="21"/>
          <w:highlight w:val="none"/>
          <w:lang w:val="en-US" w:eastAsia="zh-CN"/>
        </w:rPr>
        <w:t xml:space="preserve"> </w:t>
      </w:r>
      <w:r>
        <w:rPr>
          <w:rFonts w:hint="eastAsia" w:ascii="宋体" w:hAnsi="宋体" w:eastAsia="宋体" w:cs="宋体"/>
          <w:i w:val="0"/>
          <w:szCs w:val="21"/>
          <w:highlight w:val="none"/>
        </w:rPr>
        <w:t xml:space="preserve"> </w:t>
      </w:r>
      <w:r>
        <w:rPr>
          <w:rFonts w:hint="eastAsia" w:ascii="宋体" w:hAnsi="宋体" w:eastAsia="宋体" w:cs="宋体"/>
          <w:szCs w:val="21"/>
          <w:highlight w:val="none"/>
        </w:rPr>
        <w:t>术语和定义</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_Toc32042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_Toc5761 </w:instrText>
      </w:r>
      <w:r>
        <w:rPr>
          <w:rFonts w:hint="eastAsia" w:ascii="宋体" w:hAnsi="宋体" w:eastAsia="宋体" w:cs="宋体"/>
          <w:highlight w:val="none"/>
        </w:rPr>
        <w:fldChar w:fldCharType="separate"/>
      </w:r>
      <w:r>
        <w:rPr>
          <w:rFonts w:hint="eastAsia" w:ascii="宋体" w:hAnsi="宋体" w:eastAsia="宋体" w:cs="宋体"/>
          <w:i w:val="0"/>
          <w:highlight w:val="none"/>
        </w:rPr>
        <w:t xml:space="preserve">4 </w:t>
      </w:r>
      <w:r>
        <w:rPr>
          <w:rFonts w:hint="eastAsia" w:hAnsi="宋体" w:cs="宋体"/>
          <w:i w:val="0"/>
          <w:highlight w:val="none"/>
          <w:lang w:val="en-US" w:eastAsia="zh-CN"/>
        </w:rPr>
        <w:t xml:space="preserve"> </w:t>
      </w:r>
      <w:r>
        <w:rPr>
          <w:rFonts w:hint="eastAsia" w:hAnsi="宋体" w:cs="宋体"/>
          <w:bCs/>
          <w:highlight w:val="none"/>
          <w:lang w:val="en-US" w:eastAsia="zh-CN"/>
        </w:rPr>
        <w:t>通用要求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_Toc5761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_Toc31957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kern w:val="44"/>
          <w:highlight w:val="none"/>
          <w:lang w:val="en-US" w:eastAsia="zh-CN" w:bidi="ar-SA"/>
        </w:rPr>
        <w:t>运维管理职责</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_Toc31957 \h </w:instrText>
      </w:r>
      <w:r>
        <w:rPr>
          <w:rFonts w:hint="eastAsia" w:ascii="宋体" w:hAnsi="宋体" w:eastAsia="宋体" w:cs="宋体"/>
          <w:highlight w:val="none"/>
        </w:rPr>
        <w:fldChar w:fldCharType="separate"/>
      </w:r>
      <w:r>
        <w:rPr>
          <w:rFonts w:hint="eastAsia" w:ascii="宋体" w:hAnsi="宋体" w:eastAsia="宋体" w:cs="宋体"/>
          <w:highlight w:val="none"/>
        </w:rPr>
        <w:t>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_Toc12218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kern w:val="44"/>
          <w:highlight w:val="none"/>
          <w:lang w:val="en-US" w:eastAsia="zh-CN" w:bidi="ar-SA"/>
        </w:rPr>
        <w:t>维护界面划分</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_Toc12218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_Toc11931 </w:instrText>
      </w:r>
      <w:r>
        <w:rPr>
          <w:rFonts w:hint="eastAsia" w:ascii="宋体" w:hAnsi="宋体" w:eastAsia="宋体" w:cs="宋体"/>
          <w:highlight w:val="none"/>
        </w:rPr>
        <w:fldChar w:fldCharType="separate"/>
      </w:r>
      <w:r>
        <w:rPr>
          <w:rFonts w:hint="eastAsia" w:ascii="宋体" w:hAnsi="宋体" w:eastAsia="宋体" w:cs="宋体"/>
          <w:highlight w:val="none"/>
        </w:rPr>
        <w:t xml:space="preserve">5 </w:t>
      </w:r>
      <w:r>
        <w:rPr>
          <w:rFonts w:hint="eastAsia" w:hAnsi="宋体" w:cs="宋体"/>
          <w:highlight w:val="none"/>
          <w:lang w:val="en-US" w:eastAsia="zh-CN"/>
        </w:rPr>
        <w:t xml:space="preserve"> </w:t>
      </w:r>
      <w:r>
        <w:rPr>
          <w:rFonts w:hint="eastAsia" w:ascii="宋体" w:hAnsi="宋体" w:eastAsia="宋体" w:cs="宋体"/>
          <w:highlight w:val="none"/>
          <w:lang w:val="en-US" w:eastAsia="zh-CN"/>
        </w:rPr>
        <w:t>技术、安全和配置要求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_Toc11931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_Toc20413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5.1</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技术要求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_Toc20413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_Toc9656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安全要求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_Toc9656 \h </w:instrText>
      </w:r>
      <w:r>
        <w:rPr>
          <w:rFonts w:hint="eastAsia" w:ascii="宋体" w:hAnsi="宋体" w:eastAsia="宋体" w:cs="宋体"/>
          <w:highlight w:val="none"/>
        </w:rPr>
        <w:fldChar w:fldCharType="separate"/>
      </w:r>
      <w:r>
        <w:rPr>
          <w:rFonts w:hint="eastAsia" w:ascii="宋体" w:hAnsi="宋体" w:eastAsia="宋体" w:cs="宋体"/>
          <w:highlight w:val="none"/>
        </w:rPr>
        <w:t>2</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_Toc32659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配置要求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_Toc32659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_Toc1741 </w:instrText>
      </w:r>
      <w:r>
        <w:rPr>
          <w:rFonts w:hint="eastAsia" w:ascii="宋体" w:hAnsi="宋体" w:eastAsia="宋体" w:cs="宋体"/>
          <w:highlight w:val="none"/>
        </w:rPr>
        <w:fldChar w:fldCharType="separate"/>
      </w:r>
      <w:r>
        <w:rPr>
          <w:rFonts w:hint="eastAsia" w:ascii="宋体" w:hAnsi="宋体" w:eastAsia="宋体" w:cs="宋体"/>
          <w:highlight w:val="none"/>
        </w:rPr>
        <w:t xml:space="preserve">6 </w:t>
      </w:r>
      <w:r>
        <w:rPr>
          <w:rFonts w:hint="eastAsia" w:hAnsi="宋体" w:cs="宋体"/>
          <w:highlight w:val="none"/>
          <w:lang w:val="en-US" w:eastAsia="zh-CN"/>
        </w:rPr>
        <w:t xml:space="preserve"> </w:t>
      </w:r>
      <w:r>
        <w:rPr>
          <w:rFonts w:hint="eastAsia" w:ascii="宋体" w:hAnsi="宋体" w:eastAsia="宋体" w:cs="宋体"/>
          <w:highlight w:val="none"/>
          <w:lang w:val="en-US" w:eastAsia="zh-CN"/>
        </w:rPr>
        <w:t>运行维护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_Toc1741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_Toc31278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6.1</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设备运行维护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_Toc31278 \h </w:instrText>
      </w:r>
      <w:r>
        <w:rPr>
          <w:rFonts w:hint="eastAsia" w:ascii="宋体" w:hAnsi="宋体" w:eastAsia="宋体" w:cs="宋体"/>
          <w:highlight w:val="none"/>
        </w:rPr>
        <w:fldChar w:fldCharType="separate"/>
      </w:r>
      <w:r>
        <w:rPr>
          <w:rFonts w:hint="eastAsia" w:ascii="宋体" w:hAnsi="宋体" w:eastAsia="宋体" w:cs="宋体"/>
          <w:highlight w:val="none"/>
        </w:rPr>
        <w:t>3</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_Toc28302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6.2</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光缆运行维护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_Toc28302 \h </w:instrText>
      </w:r>
      <w:r>
        <w:rPr>
          <w:rFonts w:hint="eastAsia" w:ascii="宋体" w:hAnsi="宋体" w:eastAsia="宋体" w:cs="宋体"/>
          <w:highlight w:val="none"/>
        </w:rPr>
        <w:fldChar w:fldCharType="separate"/>
      </w:r>
      <w:r>
        <w:rPr>
          <w:rFonts w:hint="eastAsia" w:ascii="宋体" w:hAnsi="宋体" w:eastAsia="宋体" w:cs="宋体"/>
          <w:highlight w:val="none"/>
        </w:rPr>
        <w:t>4</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_Toc10451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6.3</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电源运行维护</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_Toc10451 \h </w:instrText>
      </w:r>
      <w:r>
        <w:rPr>
          <w:rFonts w:hint="eastAsia" w:ascii="宋体" w:hAnsi="宋体" w:eastAsia="宋体" w:cs="宋体"/>
          <w:highlight w:val="none"/>
        </w:rPr>
        <w:fldChar w:fldCharType="separate"/>
      </w:r>
      <w:r>
        <w:rPr>
          <w:rFonts w:hint="eastAsia" w:ascii="宋体" w:hAnsi="宋体" w:eastAsia="宋体" w:cs="宋体"/>
          <w:highlight w:val="none"/>
        </w:rPr>
        <w:t>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_Toc27399 </w:instrText>
      </w:r>
      <w:r>
        <w:rPr>
          <w:rFonts w:hint="eastAsia" w:ascii="宋体" w:hAnsi="宋体" w:eastAsia="宋体" w:cs="宋体"/>
          <w:highlight w:val="none"/>
        </w:rPr>
        <w:fldChar w:fldCharType="separate"/>
      </w:r>
      <w:r>
        <w:rPr>
          <w:rFonts w:hint="eastAsia" w:ascii="宋体" w:hAnsi="宋体" w:eastAsia="宋体" w:cs="宋体"/>
          <w:highlight w:val="none"/>
        </w:rPr>
        <w:t xml:space="preserve">7 </w:t>
      </w:r>
      <w:r>
        <w:rPr>
          <w:rFonts w:hint="eastAsia" w:hAnsi="宋体" w:cs="宋体"/>
          <w:highlight w:val="none"/>
          <w:lang w:val="en-US" w:eastAsia="zh-CN"/>
        </w:rPr>
        <w:t xml:space="preserve"> </w:t>
      </w:r>
      <w:r>
        <w:rPr>
          <w:rFonts w:hint="eastAsia" w:ascii="宋体" w:hAnsi="宋体" w:eastAsia="宋体" w:cs="宋体"/>
          <w:highlight w:val="none"/>
          <w:lang w:val="en-US" w:eastAsia="zh-CN"/>
        </w:rPr>
        <w:t>检修管理</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_Toc27399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_Toc27600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基本要求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_Toc27600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_Toc1016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7.2</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协调机制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_Toc1016 \h </w:instrText>
      </w:r>
      <w:r>
        <w:rPr>
          <w:rFonts w:hint="eastAsia" w:ascii="宋体" w:hAnsi="宋体" w:eastAsia="宋体" w:cs="宋体"/>
          <w:highlight w:val="none"/>
        </w:rPr>
        <w:fldChar w:fldCharType="separate"/>
      </w:r>
      <w:r>
        <w:rPr>
          <w:rFonts w:hint="eastAsia" w:ascii="宋体" w:hAnsi="宋体" w:eastAsia="宋体" w:cs="宋体"/>
          <w:highlight w:val="none"/>
        </w:rPr>
        <w:t>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b w:val="0"/>
          <w:bCs w:val="0"/>
          <w:highlight w:val="none"/>
        </w:rPr>
      </w:pPr>
      <w:r>
        <w:rPr>
          <w:rFonts w:hint="eastAsia" w:ascii="宋体" w:hAnsi="宋体" w:eastAsia="宋体" w:cs="宋体"/>
          <w:b w:val="0"/>
          <w:bCs w:val="0"/>
          <w:highlight w:val="none"/>
        </w:rPr>
        <w:fldChar w:fldCharType="begin"/>
      </w:r>
      <w:r>
        <w:rPr>
          <w:rFonts w:hint="eastAsia" w:ascii="宋体" w:hAnsi="宋体" w:eastAsia="宋体" w:cs="宋体"/>
          <w:b w:val="0"/>
          <w:bCs w:val="0"/>
          <w:highlight w:val="none"/>
        </w:rPr>
        <w:instrText xml:space="preserve"> HYPERLINK \l _Toc23016 </w:instrText>
      </w:r>
      <w:r>
        <w:rPr>
          <w:rFonts w:hint="eastAsia" w:ascii="宋体" w:hAnsi="宋体" w:eastAsia="宋体" w:cs="宋体"/>
          <w:b w:val="0"/>
          <w:bCs w:val="0"/>
          <w:highlight w:val="none"/>
        </w:rPr>
        <w:fldChar w:fldCharType="separate"/>
      </w:r>
      <w:r>
        <w:rPr>
          <w:rFonts w:hint="eastAsia" w:ascii="宋体" w:hAnsi="宋体" w:eastAsia="宋体" w:cs="宋体"/>
          <w:b w:val="0"/>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hAnsi="宋体" w:cs="宋体"/>
          <w:b w:val="0"/>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highlight w:val="none"/>
          <w:lang w:val="en-US" w:eastAsia="zh-CN"/>
        </w:rPr>
        <w:t>计划检修</w:t>
      </w:r>
      <w:r>
        <w:rPr>
          <w:rFonts w:hint="eastAsia" w:ascii="宋体" w:hAnsi="宋体" w:eastAsia="宋体" w:cs="宋体"/>
          <w:b w:val="0"/>
          <w:bCs w:val="0"/>
          <w:highlight w:val="none"/>
        </w:rPr>
        <w:tab/>
      </w:r>
      <w:r>
        <w:rPr>
          <w:rFonts w:hint="eastAsia" w:ascii="宋体" w:hAnsi="宋体" w:eastAsia="宋体" w:cs="宋体"/>
          <w:b w:val="0"/>
          <w:bCs w:val="0"/>
          <w:highlight w:val="none"/>
        </w:rPr>
        <w:fldChar w:fldCharType="begin"/>
      </w:r>
      <w:r>
        <w:rPr>
          <w:rFonts w:hint="eastAsia" w:ascii="宋体" w:hAnsi="宋体" w:eastAsia="宋体" w:cs="宋体"/>
          <w:b w:val="0"/>
          <w:bCs w:val="0"/>
          <w:highlight w:val="none"/>
        </w:rPr>
        <w:instrText xml:space="preserve"> PAGEREF _Toc23016 \h </w:instrText>
      </w:r>
      <w:r>
        <w:rPr>
          <w:rFonts w:hint="eastAsia" w:ascii="宋体" w:hAnsi="宋体" w:eastAsia="宋体" w:cs="宋体"/>
          <w:b w:val="0"/>
          <w:bCs w:val="0"/>
          <w:highlight w:val="none"/>
        </w:rPr>
        <w:fldChar w:fldCharType="separate"/>
      </w:r>
      <w:r>
        <w:rPr>
          <w:rFonts w:hint="eastAsia" w:ascii="宋体" w:hAnsi="宋体" w:eastAsia="宋体" w:cs="宋体"/>
          <w:b w:val="0"/>
          <w:bCs w:val="0"/>
          <w:highlight w:val="none"/>
        </w:rPr>
        <w:t>9</w:t>
      </w:r>
      <w:r>
        <w:rPr>
          <w:rFonts w:hint="eastAsia" w:ascii="宋体" w:hAnsi="宋体" w:eastAsia="宋体" w:cs="宋体"/>
          <w:b w:val="0"/>
          <w:bCs w:val="0"/>
          <w:highlight w:val="none"/>
        </w:rPr>
        <w:fldChar w:fldCharType="end"/>
      </w:r>
      <w:r>
        <w:rPr>
          <w:rFonts w:hint="eastAsia" w:ascii="宋体" w:hAnsi="宋体" w:eastAsia="宋体" w:cs="宋体"/>
          <w:b w:val="0"/>
          <w:bCs w:val="0"/>
          <w:highlight w:val="none"/>
        </w:rPr>
        <w:fldChar w:fldCharType="end"/>
      </w:r>
    </w:p>
    <w:p>
      <w:pPr>
        <w:pStyle w:val="25"/>
        <w:tabs>
          <w:tab w:val="right" w:leader="dot" w:pos="9354"/>
          <w:tab w:val="clear" w:pos="9344"/>
        </w:tabs>
        <w:spacing w:line="240" w:lineRule="auto"/>
        <w:rPr>
          <w:rFonts w:hint="eastAsia" w:ascii="宋体" w:hAnsi="宋体" w:eastAsia="宋体" w:cs="宋体"/>
          <w:b w:val="0"/>
          <w:bCs w:val="0"/>
          <w:highlight w:val="none"/>
        </w:rPr>
      </w:pPr>
      <w:r>
        <w:rPr>
          <w:rFonts w:hint="eastAsia" w:ascii="宋体" w:hAnsi="宋体" w:eastAsia="宋体" w:cs="宋体"/>
          <w:b w:val="0"/>
          <w:bCs w:val="0"/>
          <w:highlight w:val="none"/>
        </w:rPr>
        <w:fldChar w:fldCharType="begin"/>
      </w:r>
      <w:r>
        <w:rPr>
          <w:rFonts w:hint="eastAsia" w:ascii="宋体" w:hAnsi="宋体" w:eastAsia="宋体" w:cs="宋体"/>
          <w:b w:val="0"/>
          <w:bCs w:val="0"/>
          <w:highlight w:val="none"/>
        </w:rPr>
        <w:instrText xml:space="preserve"> HYPERLINK \l _Toc29457 </w:instrText>
      </w:r>
      <w:r>
        <w:rPr>
          <w:rFonts w:hint="eastAsia" w:ascii="宋体" w:hAnsi="宋体" w:eastAsia="宋体" w:cs="宋体"/>
          <w:b w:val="0"/>
          <w:bCs w:val="0"/>
          <w:highlight w:val="none"/>
        </w:rPr>
        <w:fldChar w:fldCharType="separate"/>
      </w:r>
      <w:r>
        <w:rPr>
          <w:rFonts w:hint="eastAsia" w:ascii="宋体" w:hAnsi="宋体" w:eastAsia="宋体" w:cs="宋体"/>
          <w:b w:val="0"/>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hAnsi="宋体" w:cs="宋体"/>
          <w:b w:val="0"/>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kern w:val="44"/>
          <w:highlight w:val="none"/>
          <w:lang w:val="en-US" w:eastAsia="zh-CN" w:bidi="ar-SA"/>
        </w:rPr>
        <w:t>非计划检修</w:t>
      </w:r>
      <w:r>
        <w:rPr>
          <w:rFonts w:hint="eastAsia" w:ascii="宋体" w:hAnsi="宋体" w:eastAsia="宋体" w:cs="宋体"/>
          <w:b w:val="0"/>
          <w:bCs w:val="0"/>
          <w:highlight w:val="none"/>
        </w:rPr>
        <w:tab/>
      </w:r>
      <w:r>
        <w:rPr>
          <w:rFonts w:hint="eastAsia" w:ascii="宋体" w:hAnsi="宋体" w:eastAsia="宋体" w:cs="宋体"/>
          <w:b w:val="0"/>
          <w:bCs w:val="0"/>
          <w:highlight w:val="none"/>
        </w:rPr>
        <w:fldChar w:fldCharType="begin"/>
      </w:r>
      <w:r>
        <w:rPr>
          <w:rFonts w:hint="eastAsia" w:ascii="宋体" w:hAnsi="宋体" w:eastAsia="宋体" w:cs="宋体"/>
          <w:b w:val="0"/>
          <w:bCs w:val="0"/>
          <w:highlight w:val="none"/>
        </w:rPr>
        <w:instrText xml:space="preserve"> PAGEREF _Toc29457 \h </w:instrText>
      </w:r>
      <w:r>
        <w:rPr>
          <w:rFonts w:hint="eastAsia" w:ascii="宋体" w:hAnsi="宋体" w:eastAsia="宋体" w:cs="宋体"/>
          <w:b w:val="0"/>
          <w:bCs w:val="0"/>
          <w:highlight w:val="none"/>
        </w:rPr>
        <w:fldChar w:fldCharType="separate"/>
      </w:r>
      <w:r>
        <w:rPr>
          <w:rFonts w:hint="eastAsia" w:ascii="宋体" w:hAnsi="宋体" w:eastAsia="宋体" w:cs="宋体"/>
          <w:b w:val="0"/>
          <w:bCs w:val="0"/>
          <w:highlight w:val="none"/>
        </w:rPr>
        <w:t>10</w:t>
      </w:r>
      <w:r>
        <w:rPr>
          <w:rFonts w:hint="eastAsia" w:ascii="宋体" w:hAnsi="宋体" w:eastAsia="宋体" w:cs="宋体"/>
          <w:b w:val="0"/>
          <w:bCs w:val="0"/>
          <w:highlight w:val="none"/>
        </w:rPr>
        <w:fldChar w:fldCharType="end"/>
      </w:r>
      <w:r>
        <w:rPr>
          <w:rFonts w:hint="eastAsia" w:ascii="宋体" w:hAnsi="宋体" w:eastAsia="宋体" w:cs="宋体"/>
          <w:b w:val="0"/>
          <w:bCs w:val="0"/>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b w:val="0"/>
          <w:bCs w:val="0"/>
          <w:highlight w:val="none"/>
        </w:rPr>
        <w:fldChar w:fldCharType="begin"/>
      </w:r>
      <w:r>
        <w:rPr>
          <w:rFonts w:hint="eastAsia" w:ascii="宋体" w:hAnsi="宋体" w:eastAsia="宋体" w:cs="宋体"/>
          <w:b w:val="0"/>
          <w:bCs w:val="0"/>
          <w:highlight w:val="none"/>
        </w:rPr>
        <w:instrText xml:space="preserve"> HYPERLINK \l _Toc13340 </w:instrText>
      </w:r>
      <w:r>
        <w:rPr>
          <w:rFonts w:hint="eastAsia" w:ascii="宋体" w:hAnsi="宋体" w:eastAsia="宋体" w:cs="宋体"/>
          <w:b w:val="0"/>
          <w:bCs w:val="0"/>
          <w:highlight w:val="none"/>
        </w:rPr>
        <w:fldChar w:fldCharType="separate"/>
      </w:r>
      <w:r>
        <w:rPr>
          <w:rFonts w:hint="eastAsia" w:ascii="宋体" w:hAnsi="宋体" w:eastAsia="宋体" w:cs="宋体"/>
          <w:b w:val="0"/>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7.5 </w:t>
      </w:r>
      <w:r>
        <w:rPr>
          <w:rFonts w:hint="eastAsia" w:hAnsi="宋体" w:cs="宋体"/>
          <w:b w:val="0"/>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kern w:val="44"/>
          <w:highlight w:val="none"/>
          <w:lang w:val="en-US" w:eastAsia="zh-CN" w:bidi="ar-SA"/>
        </w:rPr>
        <w:t>检修票</w:t>
      </w:r>
      <w:r>
        <w:rPr>
          <w:rFonts w:hint="eastAsia" w:ascii="宋体" w:hAnsi="宋体" w:eastAsia="宋体" w:cs="宋体"/>
          <w:b w:val="0"/>
          <w:bCs w:val="0"/>
          <w:highlight w:val="none"/>
        </w:rPr>
        <w:tab/>
      </w:r>
      <w:r>
        <w:rPr>
          <w:rFonts w:hint="eastAsia" w:ascii="宋体" w:hAnsi="宋体" w:eastAsia="宋体" w:cs="宋体"/>
          <w:b w:val="0"/>
          <w:bCs w:val="0"/>
          <w:highlight w:val="none"/>
        </w:rPr>
        <w:fldChar w:fldCharType="begin"/>
      </w:r>
      <w:r>
        <w:rPr>
          <w:rFonts w:hint="eastAsia" w:ascii="宋体" w:hAnsi="宋体" w:eastAsia="宋体" w:cs="宋体"/>
          <w:b w:val="0"/>
          <w:bCs w:val="0"/>
          <w:highlight w:val="none"/>
        </w:rPr>
        <w:instrText xml:space="preserve"> PAGEREF _Toc13340 \h </w:instrText>
      </w:r>
      <w:r>
        <w:rPr>
          <w:rFonts w:hint="eastAsia" w:ascii="宋体" w:hAnsi="宋体" w:eastAsia="宋体" w:cs="宋体"/>
          <w:b w:val="0"/>
          <w:bCs w:val="0"/>
          <w:highlight w:val="none"/>
        </w:rPr>
        <w:fldChar w:fldCharType="separate"/>
      </w:r>
      <w:r>
        <w:rPr>
          <w:rFonts w:hint="eastAsia" w:ascii="宋体" w:hAnsi="宋体" w:eastAsia="宋体" w:cs="宋体"/>
          <w:b w:val="0"/>
          <w:bCs w:val="0"/>
          <w:highlight w:val="none"/>
        </w:rPr>
        <w:t>10</w:t>
      </w:r>
      <w:r>
        <w:rPr>
          <w:rFonts w:hint="eastAsia" w:ascii="宋体" w:hAnsi="宋体" w:eastAsia="宋体" w:cs="宋体"/>
          <w:b w:val="0"/>
          <w:bCs w:val="0"/>
          <w:highlight w:val="none"/>
        </w:rPr>
        <w:fldChar w:fldCharType="end"/>
      </w:r>
      <w:r>
        <w:rPr>
          <w:rFonts w:hint="eastAsia" w:ascii="宋体" w:hAnsi="宋体" w:eastAsia="宋体" w:cs="宋体"/>
          <w:b w:val="0"/>
          <w:bCs w:val="0"/>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_Toc29465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7.6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kern w:val="44"/>
          <w:highlight w:val="none"/>
          <w:lang w:val="en-US" w:eastAsia="zh-CN" w:bidi="ar-SA"/>
        </w:rPr>
        <w:t>操作票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_Toc29465 \h </w:instrText>
      </w:r>
      <w:r>
        <w:rPr>
          <w:rFonts w:hint="eastAsia" w:ascii="宋体" w:hAnsi="宋体" w:eastAsia="宋体" w:cs="宋体"/>
          <w:highlight w:val="none"/>
        </w:rPr>
        <w:fldChar w:fldCharType="separate"/>
      </w:r>
      <w:r>
        <w:rPr>
          <w:rFonts w:hint="eastAsia" w:ascii="宋体" w:hAnsi="宋体" w:eastAsia="宋体" w:cs="宋体"/>
          <w:highlight w:val="none"/>
        </w:rPr>
        <w:t>10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_Toc30904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7.7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eastAsia="zh-CN"/>
        </w:rPr>
        <w:t>“</w:t>
      </w:r>
      <w:r>
        <w:rPr>
          <w:rFonts w:hint="eastAsia" w:ascii="宋体" w:hAnsi="宋体" w:eastAsia="宋体" w:cs="宋体"/>
          <w:highlight w:val="none"/>
          <w:lang w:val="en-US" w:eastAsia="zh-CN"/>
        </w:rPr>
        <w:t>三措一案</w:t>
      </w:r>
      <w:r>
        <w:rPr>
          <w:rFonts w:hint="eastAsia" w:ascii="宋体" w:hAnsi="宋体" w:eastAsia="宋体" w:cs="宋体"/>
          <w:highlight w:val="none"/>
          <w:lang w:eastAsia="zh-CN"/>
        </w:rPr>
        <w:t>”</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_Toc30904 \h </w:instrText>
      </w:r>
      <w:r>
        <w:rPr>
          <w:rFonts w:hint="eastAsia" w:ascii="宋体" w:hAnsi="宋体" w:eastAsia="宋体" w:cs="宋体"/>
          <w:highlight w:val="none"/>
        </w:rPr>
        <w:fldChar w:fldCharType="separate"/>
      </w:r>
      <w:r>
        <w:rPr>
          <w:rFonts w:hint="eastAsia" w:ascii="宋体" w:hAnsi="宋体" w:eastAsia="宋体" w:cs="宋体"/>
          <w:highlight w:val="none"/>
        </w:rPr>
        <w:t>10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_Toc1350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7.8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标准化作业</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_Toc1350 \h </w:instrText>
      </w:r>
      <w:r>
        <w:rPr>
          <w:rFonts w:hint="eastAsia" w:ascii="宋体" w:hAnsi="宋体" w:eastAsia="宋体" w:cs="宋体"/>
          <w:highlight w:val="none"/>
        </w:rPr>
        <w:fldChar w:fldCharType="separate"/>
      </w:r>
      <w:r>
        <w:rPr>
          <w:rFonts w:hint="eastAsia" w:ascii="宋体" w:hAnsi="宋体" w:eastAsia="宋体" w:cs="宋体"/>
          <w:highlight w:val="none"/>
        </w:rPr>
        <w:t>11</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_Toc6094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7.9</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风险预警</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_Toc6094 \h </w:instrText>
      </w:r>
      <w:r>
        <w:rPr>
          <w:rFonts w:hint="eastAsia" w:ascii="宋体" w:hAnsi="宋体" w:eastAsia="宋体" w:cs="宋体"/>
          <w:highlight w:val="none"/>
        </w:rPr>
        <w:fldChar w:fldCharType="separate"/>
      </w:r>
      <w:r>
        <w:rPr>
          <w:rFonts w:hint="eastAsia" w:ascii="宋体" w:hAnsi="宋体" w:eastAsia="宋体" w:cs="宋体"/>
          <w:highlight w:val="none"/>
        </w:rPr>
        <w:t>16</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_Toc17995 </w:instrText>
      </w:r>
      <w:r>
        <w:rPr>
          <w:rFonts w:hint="eastAsia" w:ascii="宋体" w:hAnsi="宋体" w:eastAsia="宋体" w:cs="宋体"/>
          <w:highlight w:val="none"/>
        </w:rPr>
        <w:fldChar w:fldCharType="separate"/>
      </w:r>
      <w:r>
        <w:rPr>
          <w:rFonts w:hint="eastAsia" w:ascii="宋体" w:hAnsi="宋体" w:eastAsia="宋体" w:cs="宋体"/>
          <w:highlight w:val="none"/>
        </w:rPr>
        <w:t>8</w:t>
      </w:r>
      <w:r>
        <w:rPr>
          <w:rFonts w:hint="eastAsia" w:hAnsi="宋体" w:cs="宋体"/>
          <w:highlight w:val="none"/>
          <w:lang w:val="en-US" w:eastAsia="zh-CN"/>
        </w:rPr>
        <w:t xml:space="preserve"> </w:t>
      </w:r>
      <w:r>
        <w:rPr>
          <w:rFonts w:hint="eastAsia" w:ascii="宋体" w:hAnsi="宋体" w:eastAsia="宋体" w:cs="宋体"/>
          <w:highlight w:val="none"/>
        </w:rPr>
        <w:t xml:space="preserve"> </w:t>
      </w:r>
      <w:r>
        <w:rPr>
          <w:rFonts w:hint="eastAsia" w:ascii="宋体" w:hAnsi="宋体" w:eastAsia="宋体" w:cs="宋体"/>
          <w:highlight w:val="none"/>
          <w:lang w:val="en-US" w:eastAsia="zh-CN"/>
        </w:rPr>
        <w:t>故障处置</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_Toc17995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_Toc7302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故障分级</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_Toc7302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_Toc30955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处置原则</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_Toc30955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_Toc31211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处置要求</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_Toc31211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_Toc23057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8.4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故障分析</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_Toc23057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_Toc24346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8.5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事件调查</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_Toc24346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_Toc12991 </w:instrText>
      </w:r>
      <w:r>
        <w:rPr>
          <w:rFonts w:hint="eastAsia" w:ascii="宋体" w:hAnsi="宋体" w:eastAsia="宋体" w:cs="宋体"/>
          <w:highlight w:val="none"/>
        </w:rPr>
        <w:fldChar w:fldCharType="separate"/>
      </w:r>
      <w:r>
        <w:rPr>
          <w:rFonts w:hint="eastAsia" w:ascii="宋体" w:hAnsi="宋体" w:eastAsia="宋体" w:cs="宋体"/>
          <w:highlight w:val="none"/>
        </w:rPr>
        <w:t xml:space="preserve">9 </w:t>
      </w:r>
      <w:r>
        <w:rPr>
          <w:rFonts w:hint="eastAsia" w:hAnsi="宋体" w:cs="宋体"/>
          <w:highlight w:val="none"/>
          <w:lang w:val="en-US" w:eastAsia="zh-CN"/>
        </w:rPr>
        <w:t xml:space="preserve"> </w:t>
      </w:r>
      <w:r>
        <w:rPr>
          <w:rFonts w:hint="eastAsia" w:ascii="宋体" w:hAnsi="宋体" w:eastAsia="宋体" w:cs="宋体"/>
          <w:highlight w:val="none"/>
          <w:lang w:val="en-US" w:eastAsia="zh-CN"/>
        </w:rPr>
        <w:t>支撑保障</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_Toc12991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_Toc22019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9.1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备品备件</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_Toc22019 \h </w:instrText>
      </w:r>
      <w:r>
        <w:rPr>
          <w:rFonts w:hint="eastAsia" w:ascii="宋体" w:hAnsi="宋体" w:eastAsia="宋体" w:cs="宋体"/>
          <w:highlight w:val="none"/>
        </w:rPr>
        <w:fldChar w:fldCharType="separate"/>
      </w:r>
      <w:r>
        <w:rPr>
          <w:rFonts w:hint="eastAsia" w:ascii="宋体" w:hAnsi="宋体" w:eastAsia="宋体" w:cs="宋体"/>
          <w:highlight w:val="none"/>
        </w:rPr>
        <w:t>17</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_Toc32334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9.2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仪器仪表</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_Toc32334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_Toc18716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9.3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工器具</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_Toc18716 \h </w:instrText>
      </w:r>
      <w:r>
        <w:rPr>
          <w:rFonts w:hint="eastAsia" w:ascii="宋体" w:hAnsi="宋体" w:eastAsia="宋体" w:cs="宋体"/>
          <w:highlight w:val="none"/>
        </w:rPr>
        <w:fldChar w:fldCharType="separate"/>
      </w:r>
      <w:r>
        <w:rPr>
          <w:rFonts w:hint="eastAsia" w:ascii="宋体" w:hAnsi="宋体" w:eastAsia="宋体" w:cs="宋体"/>
          <w:highlight w:val="none"/>
        </w:rPr>
        <w:t>18</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_Toc28627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9.4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标识标签</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_Toc28627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_Toc12211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9.5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运维记录</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_Toc12211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_Toc14260 </w:instrText>
      </w:r>
      <w:r>
        <w:rPr>
          <w:rFonts w:hint="eastAsia" w:ascii="宋体" w:hAnsi="宋体" w:eastAsia="宋体" w:cs="宋体"/>
          <w:highlight w:val="none"/>
        </w:rPr>
        <w:fldChar w:fldCharType="separate"/>
      </w:r>
      <w:r>
        <w:rPr>
          <w:rFonts w:hint="eastAsia" w:ascii="宋体" w:hAnsi="宋体" w:eastAsia="宋体" w:cs="宋体"/>
          <w:highlight w:val="none"/>
        </w:rPr>
        <w:t xml:space="preserve">10 </w:t>
      </w:r>
      <w:r>
        <w:rPr>
          <w:rFonts w:hint="eastAsia" w:hAnsi="宋体" w:cs="宋体"/>
          <w:highlight w:val="none"/>
          <w:lang w:val="en-US" w:eastAsia="zh-CN"/>
        </w:rPr>
        <w:t xml:space="preserve"> </w:t>
      </w:r>
      <w:r>
        <w:rPr>
          <w:rFonts w:hint="eastAsia" w:ascii="宋体" w:hAnsi="宋体" w:eastAsia="宋体" w:cs="宋体"/>
          <w:highlight w:val="none"/>
          <w:lang w:val="en-US" w:eastAsia="zh-CN"/>
        </w:rPr>
        <w:t>质量管理</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_Toc14260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_Toc24002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10.1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质量指标</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_Toc24002 \h </w:instrText>
      </w:r>
      <w:r>
        <w:rPr>
          <w:rFonts w:hint="eastAsia" w:ascii="宋体" w:hAnsi="宋体" w:eastAsia="宋体" w:cs="宋体"/>
          <w:highlight w:val="none"/>
        </w:rPr>
        <w:fldChar w:fldCharType="separate"/>
      </w:r>
      <w:r>
        <w:rPr>
          <w:rFonts w:hint="eastAsia" w:ascii="宋体" w:hAnsi="宋体" w:eastAsia="宋体" w:cs="宋体"/>
          <w:highlight w:val="none"/>
        </w:rPr>
        <w:t>19</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25"/>
        <w:tabs>
          <w:tab w:val="right" w:leader="dot" w:pos="9354"/>
          <w:tab w:val="clear" w:pos="9344"/>
        </w:tabs>
        <w:spacing w:line="240" w:lineRule="auto"/>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_Toc12956 </w:instrText>
      </w:r>
      <w:r>
        <w:rPr>
          <w:rFonts w:hint="eastAsia" w:ascii="宋体" w:hAnsi="宋体" w:eastAsia="宋体" w:cs="宋体"/>
          <w:highlight w:val="none"/>
        </w:rPr>
        <w:fldChar w:fldCharType="separate"/>
      </w:r>
      <w:r>
        <w:rPr>
          <w:rFonts w:hint="eastAsia" w:ascii="宋体" w:hAnsi="宋体" w:eastAsia="宋体" w:cs="宋体"/>
          <w:bCs w:val="0"/>
          <w:i w:val="0"/>
          <w:iCs w:val="0"/>
          <w:caps w:val="0"/>
          <w:smallCaps w:val="0"/>
          <w:strike w:val="0"/>
          <w:dstrike w:val="0"/>
          <w:vanish w:val="0"/>
          <w:spacing w:val="0"/>
          <w:kern w:val="0"/>
          <w:position w:val="0"/>
          <w:highlight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10.2 </w:t>
      </w:r>
      <w:r>
        <w:rPr>
          <w:rFonts w:hint="eastAsia" w:hAnsi="宋体" w:cs="宋体"/>
          <w:bCs w:val="0"/>
          <w:i w:val="0"/>
          <w:iCs w:val="0"/>
          <w:caps w:val="0"/>
          <w:smallCaps w:val="0"/>
          <w:strike w:val="0"/>
          <w:dstrike w:val="0"/>
          <w:vanish w:val="0"/>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highlight w:val="none"/>
          <w:lang w:val="en-US" w:eastAsia="zh-CN"/>
        </w:rPr>
        <w:t>运行评价分析</w:t>
      </w:r>
      <w:r>
        <w:rPr>
          <w:rFonts w:hint="eastAsia" w:ascii="宋体" w:hAnsi="宋体" w:eastAsia="宋体" w:cs="宋体"/>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PAGEREF _Toc12956 \h </w:instrText>
      </w:r>
      <w:r>
        <w:rPr>
          <w:rFonts w:hint="eastAsia" w:ascii="宋体" w:hAnsi="宋体" w:eastAsia="宋体" w:cs="宋体"/>
          <w:highlight w:val="none"/>
        </w:rPr>
        <w:fldChar w:fldCharType="separate"/>
      </w:r>
      <w:r>
        <w:rPr>
          <w:rFonts w:hint="eastAsia" w:ascii="宋体" w:hAnsi="宋体" w:eastAsia="宋体" w:cs="宋体"/>
          <w:highlight w:val="none"/>
        </w:rPr>
        <w:t>20</w:t>
      </w:r>
      <w:r>
        <w:rPr>
          <w:rFonts w:hint="eastAsia" w:ascii="宋体" w:hAnsi="宋体" w:eastAsia="宋体" w:cs="宋体"/>
          <w:highlight w:val="none"/>
        </w:rPr>
        <w:fldChar w:fldCharType="end"/>
      </w:r>
      <w:r>
        <w:rPr>
          <w:rFonts w:hint="eastAsia" w:ascii="宋体" w:hAnsi="宋体" w:eastAsia="宋体" w:cs="宋体"/>
          <w:highlight w:val="none"/>
        </w:rPr>
        <w:fldChar w:fldCharType="end"/>
      </w:r>
    </w:p>
    <w:p>
      <w:pPr>
        <w:pStyle w:val="93"/>
        <w:spacing w:after="360"/>
        <w:rPr>
          <w:highlight w:val="none"/>
        </w:rPr>
        <w:sectPr>
          <w:headerReference r:id="rId7" w:type="default"/>
          <w:footerReference r:id="rId9" w:type="default"/>
          <w:headerReference r:id="rId8" w:type="even"/>
          <w:footerReference r:id="rId10" w:type="even"/>
          <w:pgSz w:w="11906" w:h="16838"/>
          <w:pgMar w:top="2410" w:right="1134" w:bottom="1134" w:left="1134" w:header="1418" w:footer="1134" w:gutter="284"/>
          <w:pgNumType w:fmt="upperRoman" w:start="1"/>
          <w:cols w:space="425" w:num="1"/>
          <w:formProt w:val="0"/>
          <w:docGrid w:linePitch="312" w:charSpace="0"/>
        </w:sectPr>
      </w:pPr>
      <w:r>
        <w:rPr>
          <w:rFonts w:hint="eastAsia" w:ascii="宋体" w:hAnsi="宋体" w:eastAsia="宋体" w:cs="宋体"/>
          <w:highlight w:val="none"/>
        </w:rPr>
        <w:fldChar w:fldCharType="end"/>
      </w:r>
    </w:p>
    <w:bookmarkEnd w:id="14"/>
    <w:p>
      <w:pPr>
        <w:pStyle w:val="91"/>
        <w:spacing w:after="360"/>
        <w:rPr>
          <w:highlight w:val="none"/>
        </w:rPr>
      </w:pPr>
      <w:bookmarkStart w:id="18" w:name="_Toc30175"/>
      <w:bookmarkStart w:id="19" w:name="BookMark2"/>
      <w:r>
        <w:rPr>
          <w:spacing w:val="320"/>
          <w:highlight w:val="none"/>
        </w:rPr>
        <w:t>前</w:t>
      </w:r>
      <w:r>
        <w:rPr>
          <w:highlight w:val="none"/>
        </w:rPr>
        <w:t>言</w:t>
      </w:r>
      <w:bookmarkEnd w:id="15"/>
      <w:bookmarkEnd w:id="16"/>
      <w:bookmarkEnd w:id="17"/>
      <w:bookmarkEnd w:id="18"/>
    </w:p>
    <w:p>
      <w:pPr>
        <w:pStyle w:val="58"/>
        <w:ind w:firstLine="420"/>
        <w:rPr>
          <w:highlight w:val="none"/>
        </w:rPr>
      </w:pPr>
      <w:r>
        <w:rPr>
          <w:rFonts w:hint="eastAsia"/>
          <w:highlight w:val="none"/>
        </w:rPr>
        <w:t>本文件按照GB/T 1.1—2020《标准化工作导则  第1部分：标准化文件的结构和起草规则》的规定起草。</w:t>
      </w:r>
    </w:p>
    <w:p>
      <w:pPr>
        <w:pStyle w:val="58"/>
        <w:ind w:firstLine="420"/>
        <w:rPr>
          <w:rFonts w:hint="eastAsia"/>
          <w:highlight w:val="none"/>
          <w:lang w:val="en-US" w:eastAsia="zh-CN"/>
        </w:rPr>
      </w:pPr>
    </w:p>
    <w:p>
      <w:pPr>
        <w:pStyle w:val="58"/>
        <w:ind w:firstLine="420"/>
        <w:rPr>
          <w:rFonts w:hint="eastAsia" w:eastAsia="宋体"/>
          <w:highlight w:val="none"/>
          <w:lang w:val="en-US" w:eastAsia="zh-CN"/>
        </w:rPr>
      </w:pPr>
      <w:r>
        <w:rPr>
          <w:rFonts w:hint="eastAsia"/>
          <w:highlight w:val="none"/>
          <w:lang w:val="en-US" w:eastAsia="zh-CN"/>
        </w:rPr>
        <w:t>请注意本文件的某些内容可能涉及专利。本文件的发布机构不承担识别这些专利的责任。</w:t>
      </w:r>
    </w:p>
    <w:p>
      <w:pPr>
        <w:pStyle w:val="58"/>
        <w:ind w:firstLine="420"/>
        <w:rPr>
          <w:highlight w:val="none"/>
        </w:rPr>
      </w:pPr>
      <w:r>
        <w:rPr>
          <w:rFonts w:hint="eastAsia"/>
          <w:highlight w:val="none"/>
        </w:rPr>
        <w:t>本文件由××××提出。</w:t>
      </w:r>
    </w:p>
    <w:p>
      <w:pPr>
        <w:pStyle w:val="58"/>
        <w:ind w:firstLine="420"/>
        <w:rPr>
          <w:highlight w:val="none"/>
        </w:rPr>
      </w:pPr>
      <w:r>
        <w:rPr>
          <w:rFonts w:hint="eastAsia"/>
          <w:highlight w:val="none"/>
        </w:rPr>
        <w:t>本文件由××××归口。</w:t>
      </w:r>
    </w:p>
    <w:p>
      <w:pPr>
        <w:pStyle w:val="58"/>
        <w:ind w:firstLine="420"/>
        <w:rPr>
          <w:rFonts w:hint="default" w:eastAsia="宋体"/>
          <w:highlight w:val="none"/>
          <w:lang w:val="en-US" w:eastAsia="zh-CN"/>
        </w:rPr>
      </w:pPr>
      <w:r>
        <w:rPr>
          <w:rFonts w:hint="eastAsia"/>
          <w:highlight w:val="none"/>
        </w:rPr>
        <w:t>本文件起草单位：</w:t>
      </w:r>
      <w:r>
        <w:rPr>
          <w:rFonts w:hint="eastAsia"/>
          <w:highlight w:val="none"/>
          <w:lang w:val="en-US" w:eastAsia="zh-CN"/>
        </w:rPr>
        <w:t>龙源（北京）风电工程技术有限公司</w:t>
      </w:r>
    </w:p>
    <w:p>
      <w:pPr>
        <w:pStyle w:val="58"/>
        <w:ind w:firstLine="420"/>
        <w:rPr>
          <w:highlight w:val="none"/>
        </w:rPr>
      </w:pPr>
      <w:r>
        <w:rPr>
          <w:rFonts w:hint="eastAsia"/>
          <w:highlight w:val="none"/>
        </w:rPr>
        <w:t>本文件主要起草人：</w:t>
      </w:r>
    </w:p>
    <w:p>
      <w:pPr>
        <w:pStyle w:val="58"/>
        <w:ind w:firstLine="420"/>
        <w:rPr>
          <w:highlight w:val="none"/>
        </w:rPr>
      </w:pPr>
    </w:p>
    <w:p>
      <w:pPr>
        <w:pStyle w:val="58"/>
        <w:ind w:firstLine="420"/>
        <w:rPr>
          <w:highlight w:val="none"/>
        </w:rPr>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cols w:space="425" w:num="1"/>
          <w:formProt w:val="0"/>
          <w:docGrid w:linePitch="312" w:charSpace="0"/>
        </w:sectPr>
      </w:pPr>
    </w:p>
    <w:bookmarkEnd w:id="19"/>
    <w:sdt>
      <w:sdtPr>
        <w:rPr>
          <w:highlight w:val="none"/>
        </w:rPr>
        <w:tag w:val="NEW_STAND_NAME"/>
        <w:id w:val="595910757"/>
        <w:lock w:val="sdtLocked"/>
        <w:placeholder>
          <w:docPart w:val="37BCCEF4DA094EE1A3EA89D73B495B65"/>
        </w:placeholder>
      </w:sdtPr>
      <w:sdtEndPr>
        <w:rPr>
          <w:b w:val="0"/>
          <w:bCs/>
          <w:highlight w:val="none"/>
        </w:rPr>
      </w:sdtEndPr>
      <w:sdtContent>
        <w:p>
          <w:pPr>
            <w:pStyle w:val="179"/>
            <w:spacing w:after="528" w:afterLines="220" w:line="240" w:lineRule="auto"/>
            <w:rPr>
              <w:b w:val="0"/>
              <w:bCs/>
              <w:highlight w:val="none"/>
            </w:rPr>
          </w:pPr>
          <w:bookmarkStart w:id="20" w:name="NEW_STAND_NAME"/>
          <w:bookmarkStart w:id="21" w:name="BookMark4"/>
          <w:r>
            <w:rPr>
              <w:rFonts w:hint="eastAsia" w:ascii="Times New Roman" w:hAnsi="Times New Roman" w:cs="Times New Roman"/>
              <w:b w:val="0"/>
              <w:bCs/>
              <w:highlight w:val="none"/>
              <w:lang w:val="en-US" w:eastAsia="zh-CN"/>
            </w:rPr>
            <w:t>光伏发电站通信设备运行维护指南</w:t>
          </w:r>
        </w:p>
      </w:sdtContent>
    </w:sdt>
    <w:bookmarkEnd w:id="20"/>
    <w:p>
      <w:pPr>
        <w:pStyle w:val="106"/>
        <w:spacing w:before="240" w:after="240"/>
        <w:rPr>
          <w:rFonts w:hint="eastAsia"/>
          <w:highlight w:val="none"/>
        </w:rPr>
      </w:pPr>
      <w:bookmarkStart w:id="22" w:name="_Toc26986530"/>
      <w:bookmarkStart w:id="23" w:name="_Toc24884211"/>
      <w:bookmarkStart w:id="24" w:name="_Toc26718930"/>
      <w:bookmarkStart w:id="25" w:name="_Toc17233325"/>
      <w:bookmarkStart w:id="26" w:name="_Toc79504498"/>
      <w:bookmarkStart w:id="27" w:name="_Toc10800"/>
      <w:bookmarkStart w:id="28" w:name="_Toc28500"/>
      <w:bookmarkStart w:id="29" w:name="_Toc17233333"/>
      <w:bookmarkStart w:id="30" w:name="_Toc26986771"/>
      <w:bookmarkStart w:id="31" w:name="_Toc26648465"/>
      <w:bookmarkStart w:id="32" w:name="_Toc24884218"/>
      <w:bookmarkStart w:id="33" w:name="_Toc79045635"/>
      <w:r>
        <w:rPr>
          <w:rFonts w:hint="eastAsia"/>
          <w:highlight w:val="none"/>
        </w:rPr>
        <w:t>范围</w:t>
      </w:r>
      <w:bookmarkEnd w:id="22"/>
      <w:bookmarkEnd w:id="23"/>
      <w:bookmarkEnd w:id="24"/>
      <w:bookmarkEnd w:id="25"/>
      <w:bookmarkEnd w:id="26"/>
      <w:bookmarkEnd w:id="27"/>
      <w:bookmarkEnd w:id="28"/>
      <w:bookmarkEnd w:id="29"/>
      <w:bookmarkEnd w:id="30"/>
      <w:bookmarkEnd w:id="31"/>
      <w:bookmarkEnd w:id="32"/>
      <w:bookmarkEnd w:id="33"/>
    </w:p>
    <w:p>
      <w:pPr>
        <w:pStyle w:val="58"/>
        <w:ind w:firstLine="420"/>
        <w:rPr>
          <w:rFonts w:hint="eastAsia" w:ascii="宋体" w:eastAsia="宋体"/>
          <w:highlight w:val="none"/>
          <w:lang w:val="en-US" w:eastAsia="zh-CN"/>
        </w:rPr>
      </w:pPr>
      <w:bookmarkStart w:id="34" w:name="_Toc79504499"/>
      <w:bookmarkStart w:id="35" w:name="_Toc25811"/>
      <w:bookmarkStart w:id="36" w:name="_Toc79045636"/>
      <w:bookmarkStart w:id="37" w:name="_Toc24884219"/>
      <w:bookmarkStart w:id="38" w:name="_Toc17233334"/>
      <w:bookmarkStart w:id="39" w:name="_Toc26986531"/>
      <w:bookmarkStart w:id="40" w:name="_Toc26986772"/>
      <w:bookmarkStart w:id="41" w:name="_Toc17233326"/>
      <w:bookmarkStart w:id="42" w:name="_Toc26648466"/>
      <w:bookmarkStart w:id="43" w:name="_Toc24884212"/>
      <w:bookmarkStart w:id="44" w:name="_Toc26718931"/>
      <w:r>
        <w:rPr>
          <w:rFonts w:hint="eastAsia"/>
          <w:highlight w:val="none"/>
          <w:lang w:val="en-US" w:eastAsia="zh-CN"/>
        </w:rPr>
        <w:t>本文件</w:t>
      </w:r>
      <w:r>
        <w:rPr>
          <w:rFonts w:hint="eastAsia" w:ascii="宋体" w:eastAsia="宋体"/>
          <w:highlight w:val="none"/>
          <w:lang w:val="en-US" w:eastAsia="zh-CN"/>
        </w:rPr>
        <w:t>规定了光伏发电站通信设备运行维护</w:t>
      </w:r>
      <w:r>
        <w:rPr>
          <w:rFonts w:hint="eastAsia"/>
          <w:highlight w:val="none"/>
          <w:lang w:val="en-US" w:eastAsia="zh-CN"/>
        </w:rPr>
        <w:t>（以下简称“运维”）</w:t>
      </w:r>
      <w:r>
        <w:rPr>
          <w:rFonts w:hint="eastAsia" w:ascii="宋体" w:eastAsia="宋体"/>
          <w:highlight w:val="none"/>
          <w:lang w:val="en-US" w:eastAsia="zh-CN"/>
        </w:rPr>
        <w:t>职责分工及工作基本要求。</w:t>
      </w:r>
    </w:p>
    <w:p>
      <w:pPr>
        <w:pStyle w:val="58"/>
        <w:ind w:firstLine="420"/>
        <w:rPr>
          <w:rFonts w:hint="eastAsia" w:ascii="宋体" w:eastAsia="宋体"/>
          <w:highlight w:val="none"/>
          <w:lang w:val="en-US" w:eastAsia="zh-CN"/>
        </w:rPr>
      </w:pPr>
      <w:r>
        <w:rPr>
          <w:rFonts w:hint="eastAsia"/>
          <w:highlight w:val="none"/>
          <w:lang w:val="en-US" w:eastAsia="zh-CN"/>
        </w:rPr>
        <w:t>本文件</w:t>
      </w:r>
      <w:r>
        <w:rPr>
          <w:rFonts w:hint="eastAsia" w:ascii="宋体" w:eastAsia="宋体"/>
          <w:highlight w:val="none"/>
          <w:lang w:val="en-US" w:eastAsia="zh-CN"/>
        </w:rPr>
        <w:t>适用于光伏发电站通信</w:t>
      </w:r>
      <w:r>
        <w:rPr>
          <w:rFonts w:hint="eastAsia"/>
          <w:highlight w:val="none"/>
          <w:lang w:val="en-US" w:eastAsia="zh-CN"/>
        </w:rPr>
        <w:t>运维</w:t>
      </w:r>
      <w:r>
        <w:rPr>
          <w:rFonts w:hint="eastAsia" w:ascii="宋体" w:eastAsia="宋体"/>
          <w:highlight w:val="none"/>
          <w:lang w:val="en-US" w:eastAsia="zh-CN"/>
        </w:rPr>
        <w:t>工作。</w:t>
      </w:r>
    </w:p>
    <w:p>
      <w:pPr>
        <w:pStyle w:val="106"/>
        <w:spacing w:before="240" w:after="240"/>
        <w:rPr>
          <w:rFonts w:hint="eastAsia"/>
          <w:highlight w:val="none"/>
        </w:rPr>
      </w:pPr>
      <w:bookmarkStart w:id="45" w:name="_Toc7087"/>
      <w:r>
        <w:rPr>
          <w:rFonts w:hint="eastAsia"/>
          <w:highlight w:val="none"/>
        </w:rPr>
        <w:t>规范性引用文件</w:t>
      </w:r>
      <w:bookmarkEnd w:id="34"/>
      <w:bookmarkEnd w:id="35"/>
      <w:bookmarkEnd w:id="36"/>
      <w:bookmarkEnd w:id="37"/>
      <w:bookmarkEnd w:id="38"/>
      <w:bookmarkEnd w:id="39"/>
      <w:bookmarkEnd w:id="40"/>
      <w:bookmarkEnd w:id="41"/>
      <w:bookmarkEnd w:id="42"/>
      <w:bookmarkEnd w:id="43"/>
      <w:bookmarkEnd w:id="44"/>
      <w:bookmarkEnd w:id="45"/>
    </w:p>
    <w:sdt>
      <w:sdtPr>
        <w:rPr>
          <w:rFonts w:hint="eastAsia" w:ascii="宋体" w:eastAsia="宋体"/>
          <w:highlight w:val="none"/>
        </w:rPr>
        <w:id w:val="715848253"/>
        <w:placeholder>
          <w:docPart w:val="8467A95ED8AA41BC97CDEF710B4C03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eastAsia="宋体"/>
          <w:highlight w:val="none"/>
        </w:rPr>
      </w:sdtEndPr>
      <w:sdtContent>
        <w:p>
          <w:pPr>
            <w:pStyle w:val="58"/>
            <w:ind w:firstLine="420"/>
            <w:rPr>
              <w:rFonts w:hint="eastAsia" w:ascii="宋体" w:eastAsia="宋体"/>
              <w:highlight w:val="none"/>
            </w:rPr>
          </w:pPr>
          <w:r>
            <w:rPr>
              <w:rFonts w:hint="eastAsia" w:ascii="宋体" w:eastAsia="宋体"/>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rPr>
          <w:rFonts w:hint="eastAsia" w:ascii="宋体" w:eastAsia="宋体"/>
          <w:highlight w:val="none"/>
          <w:lang w:val="en-US" w:eastAsia="zh-CN"/>
        </w:rPr>
      </w:pPr>
      <w:r>
        <w:rPr>
          <w:rFonts w:hint="eastAsia" w:ascii="宋体" w:eastAsia="宋体"/>
          <w:highlight w:val="none"/>
          <w:lang w:val="en-US" w:eastAsia="zh-CN"/>
        </w:rPr>
        <w:t>GB 50233 110kV~750kV 架空输电线路施工及验收规范</w:t>
      </w:r>
    </w:p>
    <w:p>
      <w:pPr>
        <w:pStyle w:val="58"/>
        <w:ind w:firstLine="420"/>
        <w:rPr>
          <w:rFonts w:hint="eastAsia" w:ascii="宋体" w:eastAsia="宋体"/>
          <w:highlight w:val="none"/>
          <w:lang w:val="en-US" w:eastAsia="zh-CN"/>
        </w:rPr>
      </w:pPr>
      <w:r>
        <w:rPr>
          <w:rFonts w:hint="eastAsia" w:ascii="宋体" w:eastAsia="宋体"/>
          <w:highlight w:val="none"/>
          <w:lang w:val="en-US" w:eastAsia="zh-CN"/>
        </w:rPr>
        <w:t>GB/T</w:t>
      </w:r>
      <w:r>
        <w:rPr>
          <w:rFonts w:hint="eastAsia"/>
          <w:highlight w:val="none"/>
          <w:lang w:val="en-US" w:eastAsia="zh-CN"/>
        </w:rPr>
        <w:t xml:space="preserve"> </w:t>
      </w:r>
      <w:r>
        <w:rPr>
          <w:rFonts w:hint="eastAsia" w:ascii="宋体" w:eastAsia="宋体"/>
          <w:highlight w:val="none"/>
          <w:lang w:val="en-US" w:eastAsia="zh-CN"/>
        </w:rPr>
        <w:t>50326</w:t>
      </w:r>
      <w:r>
        <w:rPr>
          <w:rFonts w:hint="eastAsia"/>
          <w:highlight w:val="none"/>
          <w:lang w:val="en-US" w:eastAsia="zh-CN"/>
        </w:rPr>
        <w:t xml:space="preserve"> </w:t>
      </w:r>
      <w:r>
        <w:rPr>
          <w:rFonts w:hint="eastAsia" w:ascii="宋体" w:eastAsia="宋体"/>
          <w:highlight w:val="none"/>
          <w:lang w:val="en-US" w:eastAsia="zh-CN"/>
        </w:rPr>
        <w:t>建设工程项目 管理规范</w:t>
      </w:r>
    </w:p>
    <w:p>
      <w:pPr>
        <w:pStyle w:val="58"/>
        <w:ind w:firstLine="420"/>
        <w:rPr>
          <w:rFonts w:hint="eastAsia" w:ascii="宋体" w:hAnsi="Times New Roman" w:eastAsia="宋体" w:cs="Times New Roman"/>
          <w:b w:val="0"/>
          <w:bCs w:val="0"/>
          <w:i w:val="0"/>
          <w:iCs w:val="0"/>
          <w:caps w:val="0"/>
          <w:spacing w:val="0"/>
          <w:sz w:val="21"/>
          <w:szCs w:val="20"/>
          <w:highlight w:val="none"/>
          <w:shd w:val="clear"/>
        </w:rPr>
      </w:pPr>
      <w:r>
        <w:rPr>
          <w:rFonts w:hint="eastAsia"/>
          <w:highlight w:val="none"/>
          <w:lang w:val="en-US" w:eastAsia="zh-CN"/>
        </w:rPr>
        <w:t xml:space="preserve">GB/T 51242 </w:t>
      </w:r>
      <w:r>
        <w:rPr>
          <w:rFonts w:hint="eastAsia" w:ascii="宋体" w:hAnsi="Times New Roman" w:eastAsia="宋体" w:cs="Times New Roman"/>
          <w:b w:val="0"/>
          <w:bCs w:val="0"/>
          <w:i w:val="0"/>
          <w:iCs w:val="0"/>
          <w:caps w:val="0"/>
          <w:spacing w:val="0"/>
          <w:sz w:val="21"/>
          <w:szCs w:val="20"/>
          <w:highlight w:val="none"/>
          <w:shd w:val="clear"/>
        </w:rPr>
        <w:t>同步数字体系(SDH)光纤传输系统工程设计规范</w:t>
      </w:r>
    </w:p>
    <w:p>
      <w:pPr>
        <w:pStyle w:val="58"/>
        <w:ind w:firstLine="420"/>
        <w:rPr>
          <w:rFonts w:hint="eastAsia" w:ascii="宋体" w:hAnsi="Times New Roman" w:eastAsia="宋体" w:cs="Times New Roman"/>
          <w:b w:val="0"/>
          <w:bCs w:val="0"/>
          <w:i w:val="0"/>
          <w:iCs w:val="0"/>
          <w:caps w:val="0"/>
          <w:spacing w:val="0"/>
          <w:sz w:val="21"/>
          <w:szCs w:val="20"/>
          <w:highlight w:val="none"/>
          <w:shd w:val="clear"/>
          <w:lang w:val="en-US" w:eastAsia="zh-CN"/>
        </w:rPr>
      </w:pPr>
      <w:r>
        <w:rPr>
          <w:rFonts w:hint="eastAsia" w:ascii="宋体" w:hAnsi="Times New Roman" w:eastAsia="宋体" w:cs="Times New Roman"/>
          <w:b w:val="0"/>
          <w:bCs w:val="0"/>
          <w:i w:val="0"/>
          <w:iCs w:val="0"/>
          <w:caps w:val="0"/>
          <w:spacing w:val="0"/>
          <w:sz w:val="21"/>
          <w:szCs w:val="20"/>
          <w:highlight w:val="none"/>
          <w:shd w:val="clear"/>
          <w:lang w:val="en-US" w:eastAsia="zh-CN"/>
        </w:rPr>
        <w:t>DLT 544 电力通信运行管理规程</w:t>
      </w:r>
    </w:p>
    <w:p>
      <w:pPr>
        <w:pStyle w:val="58"/>
        <w:ind w:firstLine="420"/>
        <w:rPr>
          <w:rFonts w:hint="eastAsia" w:ascii="宋体" w:hAnsi="Times New Roman" w:eastAsia="宋体" w:cs="Times New Roman"/>
          <w:b w:val="0"/>
          <w:bCs w:val="0"/>
          <w:i w:val="0"/>
          <w:iCs w:val="0"/>
          <w:caps w:val="0"/>
          <w:spacing w:val="0"/>
          <w:sz w:val="21"/>
          <w:szCs w:val="20"/>
          <w:highlight w:val="none"/>
          <w:shd w:val="clear"/>
          <w:lang w:val="en-US" w:eastAsia="zh-CN"/>
        </w:rPr>
      </w:pPr>
      <w:r>
        <w:rPr>
          <w:rFonts w:hint="eastAsia" w:ascii="宋体" w:hAnsi="Times New Roman" w:eastAsia="宋体" w:cs="Times New Roman"/>
          <w:b w:val="0"/>
          <w:bCs w:val="0"/>
          <w:i w:val="0"/>
          <w:iCs w:val="0"/>
          <w:caps w:val="0"/>
          <w:spacing w:val="0"/>
          <w:sz w:val="21"/>
          <w:szCs w:val="20"/>
          <w:highlight w:val="none"/>
          <w:shd w:val="clear"/>
          <w:lang w:val="en-US" w:eastAsia="zh-CN"/>
        </w:rPr>
        <w:t>DLT 547 电力系统光纤通信运行管理规程</w:t>
      </w:r>
    </w:p>
    <w:p>
      <w:pPr>
        <w:pStyle w:val="58"/>
        <w:ind w:firstLine="420"/>
        <w:rPr>
          <w:rFonts w:hint="eastAsia" w:ascii="宋体" w:hAnsi="Times New Roman" w:eastAsia="宋体" w:cs="Times New Roman"/>
          <w:b w:val="0"/>
          <w:bCs w:val="0"/>
          <w:i w:val="0"/>
          <w:iCs w:val="0"/>
          <w:caps w:val="0"/>
          <w:spacing w:val="0"/>
          <w:sz w:val="21"/>
          <w:szCs w:val="20"/>
          <w:highlight w:val="none"/>
          <w:shd w:val="clear"/>
          <w:lang w:val="en-US" w:eastAsia="zh-CN"/>
        </w:rPr>
      </w:pPr>
      <w:r>
        <w:rPr>
          <w:rFonts w:hint="eastAsia" w:ascii="宋体" w:hAnsi="Times New Roman" w:eastAsia="宋体" w:cs="Times New Roman"/>
          <w:b w:val="0"/>
          <w:bCs w:val="0"/>
          <w:i w:val="0"/>
          <w:iCs w:val="0"/>
          <w:caps w:val="0"/>
          <w:spacing w:val="0"/>
          <w:sz w:val="21"/>
          <w:szCs w:val="20"/>
          <w:highlight w:val="none"/>
          <w:shd w:val="clear"/>
          <w:lang w:val="en-US" w:eastAsia="zh-CN"/>
        </w:rPr>
        <w:t>DL/T 782 110千伏及以上送变电工程启动及竣工验收规程</w:t>
      </w:r>
    </w:p>
    <w:p>
      <w:pPr>
        <w:pStyle w:val="106"/>
        <w:spacing w:before="240" w:after="240"/>
        <w:rPr>
          <w:rFonts w:hint="eastAsia"/>
          <w:szCs w:val="21"/>
          <w:highlight w:val="none"/>
        </w:rPr>
      </w:pPr>
      <w:bookmarkStart w:id="46" w:name="_Toc79045639"/>
      <w:bookmarkEnd w:id="46"/>
      <w:bookmarkStart w:id="47" w:name="_Toc272179755"/>
      <w:bookmarkStart w:id="48" w:name="_Toc32042"/>
      <w:bookmarkStart w:id="49" w:name="_Toc79504501"/>
      <w:bookmarkStart w:id="50" w:name="_Toc268249089"/>
      <w:bookmarkStart w:id="51" w:name="_Toc265512176"/>
      <w:bookmarkStart w:id="52" w:name="_Toc1769"/>
      <w:bookmarkStart w:id="53" w:name="_Toc9454"/>
      <w:r>
        <w:rPr>
          <w:rFonts w:hint="eastAsia"/>
          <w:szCs w:val="21"/>
          <w:highlight w:val="none"/>
        </w:rPr>
        <w:t>术语和定义</w:t>
      </w:r>
      <w:bookmarkEnd w:id="21"/>
      <w:bookmarkEnd w:id="47"/>
      <w:bookmarkEnd w:id="48"/>
      <w:bookmarkEnd w:id="49"/>
      <w:bookmarkEnd w:id="50"/>
      <w:bookmarkEnd w:id="51"/>
      <w:bookmarkEnd w:id="52"/>
      <w:bookmarkEnd w:id="53"/>
    </w:p>
    <w:p>
      <w:pPr>
        <w:pStyle w:val="67"/>
        <w:numPr>
          <w:ilvl w:val="-1"/>
          <w:numId w:val="0"/>
        </w:numPr>
        <w:spacing w:before="0" w:beforeLines="0" w:after="0" w:afterLines="0"/>
        <w:rPr>
          <w:rFonts w:hint="eastAsia"/>
          <w:highlight w:val="none"/>
          <w:lang w:val="en-US" w:eastAsia="zh-CN"/>
        </w:rPr>
      </w:pPr>
      <w:r>
        <w:rPr>
          <w:rFonts w:hint="eastAsia"/>
          <w:highlight w:val="none"/>
          <w:lang w:val="en-US" w:eastAsia="zh-CN"/>
        </w:rPr>
        <w:t xml:space="preserve">3.1 </w:t>
      </w:r>
      <w:bookmarkStart w:id="90" w:name="_GoBack"/>
      <w:bookmarkEnd w:id="90"/>
    </w:p>
    <w:p>
      <w:pPr>
        <w:pStyle w:val="67"/>
        <w:numPr>
          <w:ilvl w:val="-1"/>
          <w:numId w:val="0"/>
        </w:numPr>
        <w:spacing w:before="0" w:beforeLines="0" w:after="0" w:afterLines="0"/>
        <w:ind w:firstLine="420"/>
        <w:rPr>
          <w:rFonts w:hint="default" w:ascii="黑体" w:hAnsi="黑体" w:eastAsia="黑体" w:cs="黑体"/>
          <w:b/>
          <w:bCs/>
          <w:szCs w:val="21"/>
          <w:highlight w:val="none"/>
          <w:lang w:val="en-US" w:eastAsia="zh-CN"/>
        </w:rPr>
      </w:pPr>
      <w:r>
        <w:rPr>
          <w:rFonts w:hint="eastAsia" w:ascii="黑体" w:hAnsi="黑体" w:eastAsia="黑体" w:cs="黑体"/>
          <w:szCs w:val="21"/>
          <w:highlight w:val="none"/>
        </w:rPr>
        <w:t>“三措一案”</w:t>
      </w:r>
      <w:r>
        <w:rPr>
          <w:rFonts w:hint="eastAsia" w:hAnsi="黑体" w:cs="黑体"/>
          <w:szCs w:val="21"/>
          <w:highlight w:val="none"/>
          <w:lang w:val="en-US" w:eastAsia="zh-CN"/>
        </w:rPr>
        <w:t xml:space="preserve">  three measures and one plan</w:t>
      </w:r>
    </w:p>
    <w:p>
      <w:pPr>
        <w:pStyle w:val="67"/>
        <w:numPr>
          <w:ilvl w:val="-1"/>
          <w:numId w:val="0"/>
        </w:numPr>
        <w:spacing w:before="0" w:beforeLines="0" w:after="0" w:afterLines="0"/>
        <w:ind w:firstLine="420"/>
        <w:rPr>
          <w:rFonts w:hint="eastAsia"/>
          <w:highlight w:val="none"/>
        </w:rPr>
      </w:pPr>
      <w:r>
        <w:rPr>
          <w:rFonts w:hint="eastAsia" w:ascii="宋体" w:hAnsi="Times New Roman" w:eastAsia="宋体" w:cs="Times New Roman"/>
          <w:szCs w:val="21"/>
          <w:highlight w:val="none"/>
        </w:rPr>
        <w:t>是指作业任务的布置者或组织者为了协调参与工作各方而编写的作业文本，包含组织措施、安全措施、技术措施和实施方案等内容。</w:t>
      </w:r>
    </w:p>
    <w:p>
      <w:pPr>
        <w:pStyle w:val="67"/>
        <w:numPr>
          <w:ilvl w:val="-1"/>
          <w:numId w:val="0"/>
        </w:numPr>
        <w:spacing w:before="0" w:beforeLines="0" w:after="0" w:afterLines="0"/>
        <w:ind w:firstLine="0"/>
        <w:rPr>
          <w:rFonts w:hint="eastAsia"/>
          <w:highlight w:val="none"/>
          <w:lang w:val="en-US" w:eastAsia="zh-CN"/>
        </w:rPr>
      </w:pPr>
      <w:r>
        <w:rPr>
          <w:rFonts w:hint="eastAsia"/>
          <w:highlight w:val="none"/>
          <w:lang w:val="en-US" w:eastAsia="zh-CN"/>
        </w:rPr>
        <w:t xml:space="preserve">3.2 </w:t>
      </w:r>
    </w:p>
    <w:p>
      <w:pPr>
        <w:pStyle w:val="67"/>
        <w:numPr>
          <w:ilvl w:val="-1"/>
          <w:numId w:val="0"/>
        </w:numPr>
        <w:spacing w:before="0" w:beforeLines="0" w:after="0" w:afterLines="0"/>
        <w:ind w:firstLine="420"/>
        <w:rPr>
          <w:rFonts w:hint="default" w:cs="Times New Roman"/>
          <w:highlight w:val="none"/>
          <w:lang w:val="en-US" w:eastAsia="zh-CN"/>
        </w:rPr>
      </w:pPr>
      <w:r>
        <w:rPr>
          <w:rFonts w:hint="eastAsia" w:cs="Times New Roman"/>
          <w:highlight w:val="none"/>
          <w:lang w:val="en-US" w:eastAsia="zh-CN"/>
        </w:rPr>
        <w:t>备品备件  spare parts</w:t>
      </w:r>
    </w:p>
    <w:p>
      <w:pPr>
        <w:pStyle w:val="67"/>
        <w:numPr>
          <w:ilvl w:val="-1"/>
          <w:numId w:val="0"/>
        </w:numPr>
        <w:spacing w:before="0" w:beforeLines="0" w:after="0" w:afterLines="0"/>
        <w:ind w:firstLine="420"/>
        <w:rPr>
          <w:rFonts w:hint="eastAsia" w:ascii="黑体" w:hAnsi="Times New Roman" w:eastAsia="黑体" w:cs="Times New Roman"/>
          <w:highlight w:val="none"/>
        </w:rPr>
      </w:pPr>
      <w:r>
        <w:rPr>
          <w:rFonts w:hint="eastAsia" w:ascii="宋体" w:hAnsi="宋体" w:eastAsia="宋体" w:cs="宋体"/>
          <w:highlight w:val="none"/>
        </w:rPr>
        <w:t>备品是能够独立行使的整体设备，能够替代原有同类在运设备；备件是整体设备的零部件，可替代在运设备的同类零部件，使在运设备继续保持原有性能</w:t>
      </w:r>
    </w:p>
    <w:p>
      <w:pPr>
        <w:pStyle w:val="106"/>
        <w:spacing w:before="240" w:after="240"/>
        <w:rPr>
          <w:highlight w:val="none"/>
        </w:rPr>
      </w:pPr>
      <w:r>
        <w:rPr>
          <w:rFonts w:hint="eastAsia" w:ascii="Times New Roman"/>
          <w:b w:val="0"/>
          <w:bCs/>
          <w:highlight w:val="none"/>
          <w:lang w:val="en-US" w:eastAsia="zh-CN"/>
        </w:rPr>
        <w:t>通用要求</w:t>
      </w:r>
    </w:p>
    <w:p>
      <w:pPr>
        <w:pStyle w:val="107"/>
        <w:spacing w:before="120" w:after="120"/>
        <w:rPr>
          <w:highlight w:val="none"/>
        </w:rPr>
      </w:pPr>
      <w:bookmarkStart w:id="54" w:name="_Toc31957"/>
      <w:r>
        <w:rPr>
          <w:rFonts w:ascii="黑体" w:hAnsi="黑体" w:eastAsia="黑体" w:cs="Times New Roman"/>
          <w:b w:val="0"/>
          <w:kern w:val="44"/>
          <w:sz w:val="21"/>
          <w:highlight w:val="none"/>
          <w:lang w:val="en-US" w:eastAsia="zh-CN" w:bidi="ar-SA"/>
        </w:rPr>
        <w:t>运维管理职责</w:t>
      </w:r>
      <w:bookmarkEnd w:id="54"/>
    </w:p>
    <w:p>
      <w:pPr>
        <w:pStyle w:val="67"/>
        <w:spacing w:before="120" w:after="120"/>
        <w:rPr>
          <w:rFonts w:ascii="宋体" w:hAnsi="宋体" w:eastAsia="宋体" w:cs="宋体"/>
          <w:highlight w:val="none"/>
        </w:rPr>
      </w:pPr>
      <w:r>
        <w:rPr>
          <w:rFonts w:ascii="Times New Roman" w:hAnsi="Times New Roman" w:eastAsia="宋体" w:cs="Times New Roman"/>
          <w:highlight w:val="none"/>
        </w:rPr>
        <w:t>发电厂通信职能管理机构职责如下：</w:t>
      </w:r>
    </w:p>
    <w:p>
      <w:pPr>
        <w:pStyle w:val="176"/>
        <w:rPr>
          <w:rFonts w:hint="eastAsia" w:ascii="宋体" w:hAnsi="宋体" w:eastAsia="宋体" w:cs="宋体"/>
          <w:highlight w:val="none"/>
        </w:rPr>
      </w:pPr>
      <w:r>
        <w:rPr>
          <w:rFonts w:ascii="Times New Roman" w:hAnsi="Times New Roman" w:eastAsia="宋体" w:cs="Times New Roman"/>
          <w:highlight w:val="none"/>
        </w:rPr>
        <w:t>贯彻国家及电力行业颁发的各项运行管理制度和工作规定，负责指导、监督、检查所属下级通信机构通信运行及有关管理工作，接受所并网的电网通信机构指导和考核。</w:t>
      </w:r>
    </w:p>
    <w:p>
      <w:pPr>
        <w:pStyle w:val="176"/>
        <w:rPr>
          <w:rFonts w:hint="eastAsia" w:ascii="宋体" w:hAnsi="宋体" w:eastAsia="宋体" w:cs="宋体"/>
          <w:highlight w:val="none"/>
        </w:rPr>
      </w:pPr>
      <w:r>
        <w:rPr>
          <w:rFonts w:ascii="Times New Roman" w:hAnsi="Times New Roman" w:eastAsia="宋体" w:cs="Times New Roman"/>
          <w:highlight w:val="none"/>
        </w:rPr>
        <w:t>负责组织制定所管辖通信系统运行有关的各项规章制度、标准规范。</w:t>
      </w:r>
    </w:p>
    <w:p>
      <w:pPr>
        <w:pStyle w:val="176"/>
        <w:rPr>
          <w:rFonts w:hint="eastAsia" w:ascii="宋体" w:hAnsi="宋体" w:eastAsia="宋体" w:cs="宋体"/>
          <w:highlight w:val="none"/>
        </w:rPr>
      </w:pPr>
      <w:r>
        <w:rPr>
          <w:rFonts w:ascii="Times New Roman" w:hAnsi="Times New Roman" w:eastAsia="宋体" w:cs="Times New Roman"/>
          <w:highlight w:val="none"/>
        </w:rPr>
        <w:t>建立健全通信运维机构。</w:t>
      </w:r>
    </w:p>
    <w:p>
      <w:pPr>
        <w:pStyle w:val="176"/>
        <w:rPr>
          <w:rFonts w:hint="eastAsia" w:ascii="宋体" w:hAnsi="宋体" w:eastAsia="宋体" w:cs="宋体"/>
          <w:highlight w:val="none"/>
        </w:rPr>
      </w:pPr>
      <w:r>
        <w:rPr>
          <w:rFonts w:ascii="Times New Roman" w:hAnsi="Times New Roman" w:eastAsia="宋体" w:cs="Times New Roman"/>
          <w:highlight w:val="none"/>
        </w:rPr>
        <w:t>负责所管辖电力通信网运行情况的统计、分析和评价。</w:t>
      </w:r>
    </w:p>
    <w:p>
      <w:pPr>
        <w:pStyle w:val="176"/>
        <w:rPr>
          <w:rFonts w:hint="eastAsia" w:ascii="宋体" w:hAnsi="宋体" w:eastAsia="宋体" w:cs="宋体"/>
          <w:highlight w:val="none"/>
        </w:rPr>
      </w:pPr>
      <w:r>
        <w:rPr>
          <w:rFonts w:ascii="Times New Roman" w:hAnsi="Times New Roman" w:eastAsia="宋体" w:cs="Times New Roman"/>
          <w:highlight w:val="none"/>
        </w:rPr>
        <w:t>负责与电网企业之间的通信工作联系。</w:t>
      </w:r>
    </w:p>
    <w:p>
      <w:pPr>
        <w:pStyle w:val="176"/>
        <w:rPr>
          <w:rFonts w:hint="eastAsia" w:ascii="宋体" w:hAnsi="宋体" w:eastAsia="宋体" w:cs="宋体"/>
          <w:highlight w:val="none"/>
        </w:rPr>
      </w:pPr>
      <w:r>
        <w:rPr>
          <w:rFonts w:ascii="Times New Roman" w:hAnsi="Times New Roman" w:eastAsia="宋体" w:cs="Times New Roman"/>
          <w:highlight w:val="none"/>
        </w:rPr>
        <w:t>负责所管辖通信网事故调查。</w:t>
      </w:r>
    </w:p>
    <w:p>
      <w:pPr>
        <w:pStyle w:val="67"/>
        <w:spacing w:before="120" w:after="120"/>
        <w:rPr>
          <w:rFonts w:ascii="宋体" w:hAnsi="宋体" w:eastAsia="宋体" w:cs="宋体"/>
          <w:highlight w:val="none"/>
        </w:rPr>
      </w:pPr>
      <w:r>
        <w:rPr>
          <w:rFonts w:ascii="Times New Roman" w:hAnsi="Times New Roman" w:eastAsia="宋体" w:cs="Times New Roman"/>
          <w:highlight w:val="none"/>
        </w:rPr>
        <w:t>发电厂通信运行机构职责如下：</w:t>
      </w:r>
    </w:p>
    <w:p>
      <w:pPr>
        <w:pStyle w:val="176"/>
        <w:numPr>
          <w:ilvl w:val="0"/>
          <w:numId w:val="33"/>
        </w:numPr>
        <w:rPr>
          <w:rFonts w:hint="eastAsia" w:ascii="宋体" w:hAnsi="宋体" w:eastAsia="宋体" w:cs="宋体"/>
          <w:highlight w:val="none"/>
        </w:rPr>
      </w:pPr>
      <w:r>
        <w:rPr>
          <w:rFonts w:ascii="Times New Roman" w:hAnsi="Times New Roman" w:eastAsia="宋体" w:cs="Times New Roman"/>
          <w:highlight w:val="none"/>
        </w:rPr>
        <w:t>执行国家及电力行业颁发的各项管理规定和标准。</w:t>
      </w:r>
    </w:p>
    <w:p>
      <w:pPr>
        <w:pStyle w:val="176"/>
        <w:numPr>
          <w:ilvl w:val="0"/>
          <w:numId w:val="33"/>
        </w:numPr>
        <w:rPr>
          <w:rFonts w:hint="eastAsia" w:ascii="宋体" w:hAnsi="宋体" w:eastAsia="宋体" w:cs="宋体"/>
          <w:highlight w:val="none"/>
        </w:rPr>
      </w:pPr>
      <w:r>
        <w:rPr>
          <w:rFonts w:ascii="Times New Roman" w:hAnsi="Times New Roman" w:eastAsia="宋体" w:cs="Times New Roman"/>
          <w:highlight w:val="none"/>
        </w:rPr>
        <w:t>按照并网协议的有关通信要求，负责并网通信设备的</w:t>
      </w:r>
      <w:r>
        <w:rPr>
          <w:rFonts w:hint="eastAsia" w:ascii="Times New Roman" w:cs="Times New Roman"/>
          <w:highlight w:val="none"/>
          <w:lang w:eastAsia="zh-CN"/>
        </w:rPr>
        <w:t>运维</w:t>
      </w:r>
      <w:r>
        <w:rPr>
          <w:rFonts w:ascii="Times New Roman" w:hAnsi="Times New Roman" w:eastAsia="宋体" w:cs="Times New Roman"/>
          <w:highlight w:val="none"/>
        </w:rPr>
        <w:t>、技改、大修等工作。</w:t>
      </w:r>
    </w:p>
    <w:p>
      <w:pPr>
        <w:pStyle w:val="176"/>
        <w:numPr>
          <w:ilvl w:val="0"/>
          <w:numId w:val="33"/>
        </w:numPr>
        <w:rPr>
          <w:rFonts w:hint="eastAsia" w:ascii="宋体" w:hAnsi="宋体" w:eastAsia="宋体" w:cs="宋体"/>
          <w:highlight w:val="none"/>
        </w:rPr>
      </w:pPr>
      <w:r>
        <w:rPr>
          <w:rFonts w:ascii="Times New Roman" w:hAnsi="Times New Roman" w:eastAsia="宋体" w:cs="Times New Roman"/>
          <w:highlight w:val="none"/>
        </w:rPr>
        <w:t>服从所并网的电网通信机构下达的通信运行方式和通信调度指令。</w:t>
      </w:r>
    </w:p>
    <w:p>
      <w:pPr>
        <w:pStyle w:val="176"/>
        <w:numPr>
          <w:ilvl w:val="0"/>
          <w:numId w:val="33"/>
        </w:numPr>
        <w:rPr>
          <w:rFonts w:hint="eastAsia" w:ascii="宋体" w:hAnsi="宋体" w:eastAsia="宋体" w:cs="宋体"/>
          <w:highlight w:val="none"/>
        </w:rPr>
      </w:pPr>
      <w:r>
        <w:rPr>
          <w:rFonts w:ascii="Times New Roman" w:hAnsi="Times New Roman" w:eastAsia="宋体" w:cs="Times New Roman"/>
          <w:highlight w:val="none"/>
        </w:rPr>
        <w:t>负责所管辖通信网反事故预案编制，组织开展反事故演习。</w:t>
      </w:r>
    </w:p>
    <w:p>
      <w:pPr>
        <w:pStyle w:val="107"/>
        <w:spacing w:before="120" w:after="120"/>
        <w:rPr>
          <w:highlight w:val="none"/>
        </w:rPr>
      </w:pPr>
      <w:bookmarkStart w:id="55" w:name="_Toc12218"/>
      <w:r>
        <w:rPr>
          <w:rFonts w:ascii="黑体" w:hAnsi="黑体" w:eastAsia="黑体" w:cs="Times New Roman"/>
          <w:b w:val="0"/>
          <w:kern w:val="44"/>
          <w:sz w:val="21"/>
          <w:highlight w:val="none"/>
          <w:lang w:val="en-US" w:eastAsia="zh-CN" w:bidi="ar-SA"/>
        </w:rPr>
        <w:t>维护界面划分</w:t>
      </w:r>
      <w:bookmarkEnd w:id="55"/>
    </w:p>
    <w:p>
      <w:pPr>
        <w:pStyle w:val="67"/>
        <w:spacing w:before="120" w:after="120"/>
        <w:rPr>
          <w:rFonts w:hint="eastAsia" w:ascii="宋体" w:hAnsi="宋体" w:eastAsia="宋体" w:cs="宋体"/>
          <w:highlight w:val="none"/>
        </w:rPr>
      </w:pPr>
      <w:r>
        <w:rPr>
          <w:rFonts w:hint="eastAsia" w:ascii="宋体" w:hAnsi="宋体" w:eastAsia="宋体" w:cs="宋体"/>
          <w:highlight w:val="none"/>
        </w:rPr>
        <w:t>连接到发电厂、变电站内的 OPGW、 ADSS光缆， 在发电厂、变电站内分界点为门型构架，特殊情况另行商定。光缆线路终端接续箱，分界点向线路方向侧由输电线路维护机构负责，向通信机房方向侧由电厂负责。</w:t>
      </w:r>
    </w:p>
    <w:p>
      <w:pPr>
        <w:pStyle w:val="67"/>
        <w:spacing w:before="120" w:after="120"/>
        <w:rPr>
          <w:rFonts w:ascii="宋体" w:hAnsi="宋体" w:eastAsia="宋体" w:cs="宋体"/>
          <w:highlight w:val="none"/>
        </w:rPr>
      </w:pPr>
      <w:r>
        <w:rPr>
          <w:rFonts w:ascii="Times New Roman" w:hAnsi="Times New Roman" w:eastAsia="宋体" w:cs="Times New Roman"/>
          <w:highlight w:val="none"/>
        </w:rPr>
        <w:t>与其他二次专业</w:t>
      </w:r>
      <w:r>
        <w:rPr>
          <w:rFonts w:hint="eastAsia" w:ascii="Times New Roman" w:hAnsi="Times New Roman" w:eastAsia="宋体" w:cs="Times New Roman"/>
          <w:highlight w:val="none"/>
          <w:lang w:eastAsia="zh-CN"/>
        </w:rPr>
        <w:t>：</w:t>
      </w:r>
    </w:p>
    <w:p>
      <w:pPr>
        <w:pStyle w:val="176"/>
        <w:numPr>
          <w:ilvl w:val="0"/>
          <w:numId w:val="34"/>
        </w:numPr>
        <w:rPr>
          <w:rFonts w:hint="eastAsia" w:ascii="宋体" w:hAnsi="宋体" w:eastAsia="宋体" w:cs="宋体"/>
          <w:highlight w:val="none"/>
        </w:rPr>
      </w:pPr>
      <w:r>
        <w:rPr>
          <w:rFonts w:hint="eastAsia" w:ascii="宋体" w:hAnsi="宋体" w:eastAsia="宋体" w:cs="宋体"/>
          <w:highlight w:val="none"/>
        </w:rPr>
        <w:t>通过通信机房音频配线架（VDF）连接的业务电路，分界点为机房音频配线架。</w:t>
      </w:r>
    </w:p>
    <w:p>
      <w:pPr>
        <w:pStyle w:val="176"/>
        <w:numPr>
          <w:ilvl w:val="0"/>
          <w:numId w:val="34"/>
        </w:numPr>
        <w:rPr>
          <w:rFonts w:hint="eastAsia" w:ascii="宋体" w:hAnsi="宋体" w:eastAsia="宋体" w:cs="宋体"/>
          <w:highlight w:val="none"/>
        </w:rPr>
      </w:pPr>
      <w:r>
        <w:rPr>
          <w:rFonts w:hint="eastAsia" w:ascii="宋体" w:hAnsi="宋体" w:eastAsia="宋体" w:cs="宋体"/>
          <w:highlight w:val="none"/>
        </w:rPr>
        <w:t>通过通信机房数字配线架（DDF）连接的业务电路，分界点为机房数字配线架。</w:t>
      </w:r>
    </w:p>
    <w:p>
      <w:pPr>
        <w:pStyle w:val="176"/>
        <w:numPr>
          <w:ilvl w:val="0"/>
          <w:numId w:val="34"/>
        </w:numPr>
        <w:rPr>
          <w:rFonts w:hint="eastAsia" w:ascii="宋体" w:hAnsi="宋体" w:eastAsia="宋体" w:cs="宋体"/>
          <w:highlight w:val="none"/>
        </w:rPr>
      </w:pPr>
      <w:r>
        <w:rPr>
          <w:rFonts w:hint="eastAsia" w:ascii="宋体" w:hAnsi="宋体" w:eastAsia="宋体" w:cs="宋体"/>
          <w:highlight w:val="none"/>
        </w:rPr>
        <w:t>通过通信机房光纤配线架（ODF）连接的业务电路，分界点为机房光纤配线架。</w:t>
      </w:r>
    </w:p>
    <w:p>
      <w:pPr>
        <w:pStyle w:val="176"/>
        <w:numPr>
          <w:ilvl w:val="0"/>
          <w:numId w:val="34"/>
        </w:numPr>
        <w:rPr>
          <w:rFonts w:hint="eastAsia" w:ascii="宋体" w:hAnsi="宋体" w:eastAsia="宋体" w:cs="宋体"/>
          <w:highlight w:val="none"/>
        </w:rPr>
      </w:pPr>
      <w:r>
        <w:rPr>
          <w:rFonts w:hint="eastAsia" w:ascii="宋体" w:hAnsi="宋体" w:eastAsia="宋体" w:cs="宋体"/>
          <w:highlight w:val="none"/>
        </w:rPr>
        <w:t>不经过通信机房配线架而直接由通信设备连接至用户设备的，分界点为通信设备输入输出端口。</w:t>
      </w:r>
    </w:p>
    <w:p>
      <w:pPr>
        <w:pStyle w:val="106"/>
        <w:spacing w:before="240" w:after="240"/>
        <w:rPr>
          <w:highlight w:val="none"/>
        </w:rPr>
      </w:pPr>
      <w:bookmarkStart w:id="56" w:name="_Toc11931"/>
      <w:r>
        <w:rPr>
          <w:rFonts w:ascii="黑体" w:hAnsi="黑体" w:eastAsia="黑体" w:cs="Times New Roman"/>
          <w:b w:val="0"/>
          <w:kern w:val="44"/>
          <w:sz w:val="21"/>
          <w:highlight w:val="none"/>
          <w:lang w:val="en-US" w:eastAsia="zh-CN" w:bidi="ar-SA"/>
        </w:rPr>
        <w:t>技术、安全和配置要求</w:t>
      </w:r>
      <w:bookmarkEnd w:id="56"/>
    </w:p>
    <w:p>
      <w:pPr>
        <w:pStyle w:val="107"/>
        <w:spacing w:before="120" w:after="120"/>
        <w:rPr>
          <w:highlight w:val="none"/>
        </w:rPr>
      </w:pPr>
      <w:bookmarkStart w:id="57" w:name="_Toc20413"/>
      <w:r>
        <w:rPr>
          <w:rFonts w:hint="eastAsia"/>
          <w:highlight w:val="none"/>
          <w:lang w:val="en-US" w:eastAsia="zh-CN"/>
        </w:rPr>
        <w:t>技术要求</w:t>
      </w:r>
      <w:bookmarkEnd w:id="57"/>
    </w:p>
    <w:p>
      <w:pPr>
        <w:pStyle w:val="58"/>
        <w:rPr>
          <w:rFonts w:ascii="Times New Roman" w:hAnsi="Times New Roman" w:eastAsia="宋体" w:cs="Times New Roman"/>
          <w:highlight w:val="none"/>
        </w:rPr>
      </w:pPr>
      <w:r>
        <w:rPr>
          <w:rFonts w:ascii="Times New Roman" w:hAnsi="Times New Roman" w:eastAsia="宋体" w:cs="Times New Roman"/>
          <w:highlight w:val="none"/>
        </w:rPr>
        <w:t>通信设备、光缆、电源应执行如下技术规范。</w:t>
      </w:r>
    </w:p>
    <w:p>
      <w:pPr>
        <w:pStyle w:val="58"/>
        <w:ind w:firstLine="420"/>
        <w:rPr>
          <w:rFonts w:hint="eastAsia" w:ascii="宋体" w:hAnsi="Times New Roman" w:eastAsia="宋体" w:cs="Times New Roman"/>
          <w:highlight w:val="none"/>
        </w:rPr>
      </w:pPr>
      <w:r>
        <w:rPr>
          <w:rFonts w:hint="eastAsia" w:ascii="宋体" w:hAnsi="Times New Roman" w:eastAsia="宋体" w:cs="Times New Roman"/>
          <w:highlight w:val="none"/>
        </w:rPr>
        <w:t>DLT 544-2012-电力通信运行管理规程</w:t>
      </w:r>
    </w:p>
    <w:p>
      <w:pPr>
        <w:pStyle w:val="58"/>
        <w:ind w:firstLine="420"/>
        <w:rPr>
          <w:rFonts w:hint="eastAsia" w:ascii="宋体" w:hAnsi="Times New Roman" w:eastAsia="宋体" w:cs="Times New Roman"/>
          <w:highlight w:val="none"/>
        </w:rPr>
      </w:pPr>
      <w:r>
        <w:rPr>
          <w:rFonts w:hint="eastAsia" w:ascii="宋体" w:hAnsi="Times New Roman" w:eastAsia="宋体" w:cs="Times New Roman"/>
          <w:highlight w:val="none"/>
        </w:rPr>
        <w:t>DLT 547-2010 电力系统光纤通信运行管理规程</w:t>
      </w:r>
    </w:p>
    <w:p>
      <w:pPr>
        <w:pStyle w:val="58"/>
        <w:ind w:firstLine="420"/>
        <w:rPr>
          <w:rFonts w:hint="eastAsia" w:ascii="宋体" w:hAnsi="Times New Roman" w:eastAsia="宋体" w:cs="Times New Roman"/>
          <w:highlight w:val="none"/>
        </w:rPr>
      </w:pPr>
      <w:r>
        <w:rPr>
          <w:rFonts w:hint="eastAsia" w:ascii="宋体" w:hAnsi="Times New Roman" w:eastAsia="宋体" w:cs="Times New Roman"/>
          <w:highlight w:val="none"/>
        </w:rPr>
        <w:t>GB/T50326-2006</w:t>
      </w:r>
      <w:r>
        <w:rPr>
          <w:rFonts w:hint="eastAsia" w:ascii="宋体" w:hAnsi="Times New Roman" w:eastAsia="宋体" w:cs="Times New Roman"/>
          <w:highlight w:val="none"/>
          <w:lang w:val="en-US" w:eastAsia="zh-CN"/>
        </w:rPr>
        <w:t xml:space="preserve"> </w:t>
      </w:r>
      <w:r>
        <w:rPr>
          <w:rFonts w:hint="eastAsia" w:ascii="宋体" w:hAnsi="Times New Roman" w:eastAsia="宋体" w:cs="Times New Roman"/>
          <w:highlight w:val="none"/>
        </w:rPr>
        <w:t>建设工程项目 管理规范</w:t>
      </w:r>
    </w:p>
    <w:p>
      <w:pPr>
        <w:pStyle w:val="58"/>
        <w:ind w:firstLine="420"/>
        <w:rPr>
          <w:rFonts w:hint="eastAsia" w:ascii="宋体" w:hAnsi="Times New Roman" w:eastAsia="宋体" w:cs="Times New Roman"/>
          <w:highlight w:val="none"/>
        </w:rPr>
      </w:pPr>
      <w:r>
        <w:rPr>
          <w:rFonts w:hint="eastAsia" w:ascii="宋体" w:hAnsi="Times New Roman" w:eastAsia="宋体" w:cs="Times New Roman"/>
          <w:highlight w:val="none"/>
        </w:rPr>
        <w:t>DL/T782-2001</w:t>
      </w:r>
      <w:r>
        <w:rPr>
          <w:rFonts w:hint="eastAsia" w:ascii="宋体" w:hAnsi="Times New Roman" w:eastAsia="宋体" w:cs="Times New Roman"/>
          <w:highlight w:val="none"/>
          <w:lang w:val="en-US" w:eastAsia="zh-CN"/>
        </w:rPr>
        <w:t xml:space="preserve"> </w:t>
      </w:r>
      <w:r>
        <w:rPr>
          <w:rFonts w:hint="eastAsia" w:ascii="宋体" w:hAnsi="Times New Roman" w:eastAsia="宋体" w:cs="Times New Roman"/>
          <w:highlight w:val="none"/>
        </w:rPr>
        <w:t>110千伏及以上送变电工程启动及竣工验收规程</w:t>
      </w:r>
    </w:p>
    <w:p>
      <w:pPr>
        <w:pStyle w:val="58"/>
        <w:ind w:firstLine="420"/>
        <w:rPr>
          <w:rFonts w:hint="eastAsia" w:ascii="宋体" w:hAnsi="Times New Roman" w:eastAsia="宋体" w:cs="Times New Roman"/>
          <w:highlight w:val="none"/>
        </w:rPr>
      </w:pPr>
      <w:r>
        <w:rPr>
          <w:rFonts w:hint="eastAsia" w:ascii="宋体" w:hAnsi="Times New Roman" w:eastAsia="宋体" w:cs="Times New Roman"/>
          <w:highlight w:val="none"/>
        </w:rPr>
        <w:t>GB/50233-2014</w:t>
      </w:r>
      <w:r>
        <w:rPr>
          <w:rFonts w:hint="eastAsia" w:ascii="宋体" w:hAnsi="Times New Roman" w:eastAsia="宋体" w:cs="Times New Roman"/>
          <w:highlight w:val="none"/>
          <w:lang w:val="en-US" w:eastAsia="zh-CN"/>
        </w:rPr>
        <w:t xml:space="preserve"> </w:t>
      </w:r>
      <w:r>
        <w:rPr>
          <w:rFonts w:hint="eastAsia" w:ascii="宋体" w:hAnsi="Times New Roman" w:eastAsia="宋体" w:cs="Times New Roman"/>
          <w:highlight w:val="none"/>
        </w:rPr>
        <w:t>110kV~750kV 架空输电线路施工及验收规范</w:t>
      </w:r>
    </w:p>
    <w:p>
      <w:pPr>
        <w:pStyle w:val="107"/>
        <w:spacing w:before="120" w:after="120"/>
        <w:rPr>
          <w:highlight w:val="none"/>
        </w:rPr>
      </w:pPr>
      <w:bookmarkStart w:id="58" w:name="_Toc9656"/>
      <w:r>
        <w:rPr>
          <w:rFonts w:hint="eastAsia"/>
          <w:highlight w:val="none"/>
          <w:lang w:val="en-US" w:eastAsia="zh-CN"/>
        </w:rPr>
        <w:t>安全要求</w:t>
      </w:r>
      <w:bookmarkEnd w:id="58"/>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-48V高频开关电源系统的绝缘电阻、抗电强度、接触电流、材料阻燃性应</w:t>
      </w:r>
      <w:r>
        <w:rPr>
          <w:rFonts w:hint="eastAsia" w:ascii="宋体" w:hAnsi="宋体" w:eastAsia="宋体" w:cs="宋体"/>
          <w:highlight w:val="none"/>
          <w:lang w:eastAsia="zh-CN"/>
        </w:rPr>
        <w:t>符合</w:t>
      </w:r>
      <w:r>
        <w:rPr>
          <w:rFonts w:hint="eastAsia" w:ascii="宋体" w:hAnsi="宋体" w:eastAsia="宋体" w:cs="宋体"/>
          <w:highlight w:val="none"/>
        </w:rPr>
        <w:t>YD/T 1058-2015中4.13条的要求。</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通信专用UPS电源的绝缘电阻、绝缘强度、对地漏电流应</w:t>
      </w:r>
      <w:r>
        <w:rPr>
          <w:rFonts w:hint="eastAsia" w:ascii="宋体" w:hAnsi="宋体" w:eastAsia="宋体" w:cs="宋体"/>
          <w:highlight w:val="none"/>
          <w:lang w:eastAsia="zh-CN"/>
        </w:rPr>
        <w:t>符合</w:t>
      </w:r>
      <w:r>
        <w:rPr>
          <w:rFonts w:hint="eastAsia" w:ascii="宋体" w:hAnsi="宋体" w:eastAsia="宋体" w:cs="宋体"/>
          <w:highlight w:val="none"/>
        </w:rPr>
        <w:t>YD/T 1095-2018中4.10条的要求。</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光伏电站通过配置调度交换机方式接入地市供电公司本部和第二汇聚点。</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220kV及以上光伏电站内承载生产控制业务的SDH 传输系统应满足双设备、双路由、双电源要求。500kV光伏电站间应综合利用已有网络组织继电保护第三通信路由。</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光伏电站应配置接入路由器和接入交换机就近接入地市供电公司数据通信网，并在接入设备与公司数据通信网边界设备之间部署防火墙。</w:t>
      </w:r>
    </w:p>
    <w:p>
      <w:pPr>
        <w:pStyle w:val="107"/>
        <w:spacing w:before="120" w:after="120"/>
        <w:rPr>
          <w:highlight w:val="none"/>
        </w:rPr>
      </w:pPr>
      <w:bookmarkStart w:id="59" w:name="_Toc32659"/>
      <w:r>
        <w:rPr>
          <w:rFonts w:hint="eastAsia"/>
          <w:highlight w:val="none"/>
          <w:lang w:val="en-US" w:eastAsia="zh-CN"/>
        </w:rPr>
        <w:t>配置要求</w:t>
      </w:r>
      <w:bookmarkEnd w:id="59"/>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220kV及以上光伏电站应配置2套SDH设备（2.5G）；110kV及以下光伏电站应配置1套SDH设备（622M）；新增SDH设备品牌应与接入平面设备品牌保持一致。</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光伏电站通过配置调度交换机方式接入地市公司本部和第二汇聚点。</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光伏电站不</w:t>
      </w:r>
      <w:r>
        <w:rPr>
          <w:rFonts w:hint="eastAsia" w:ascii="宋体" w:hAnsi="宋体" w:eastAsia="宋体" w:cs="宋体"/>
          <w:highlight w:val="none"/>
          <w:lang w:val="en-US" w:eastAsia="zh-CN"/>
        </w:rPr>
        <w:t>应</w:t>
      </w:r>
      <w:r>
        <w:rPr>
          <w:rFonts w:hint="eastAsia" w:ascii="宋体" w:hAnsi="宋体" w:eastAsia="宋体" w:cs="宋体"/>
          <w:highlight w:val="none"/>
        </w:rPr>
        <w:t>接入地市供电公司行政交换网。</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220kV及以上光伏电站内承载生产控制业务的SDH传输系统应满足双设备、双路由、双电源要求。500kV变电站间应综合利用已有网络组织继电保护第三通信路由。</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光伏电站应配置接入路由器和接入交换机就近接入公司数据通信网，并在接入设备与公司数据通信网边界设备之间部署防火墙。</w:t>
      </w:r>
    </w:p>
    <w:p>
      <w:pPr>
        <w:pStyle w:val="106"/>
        <w:spacing w:before="240" w:after="240"/>
        <w:rPr>
          <w:highlight w:val="none"/>
        </w:rPr>
      </w:pPr>
      <w:r>
        <w:rPr>
          <w:rFonts w:hint="eastAsia"/>
          <w:highlight w:val="none"/>
          <w:lang w:val="en-US" w:eastAsia="zh-CN"/>
        </w:rPr>
        <w:t>运维</w:t>
      </w:r>
    </w:p>
    <w:p>
      <w:pPr>
        <w:pStyle w:val="107"/>
        <w:spacing w:before="120" w:after="120"/>
        <w:rPr>
          <w:highlight w:val="none"/>
        </w:rPr>
      </w:pPr>
      <w:bookmarkStart w:id="60" w:name="_Toc31278"/>
      <w:r>
        <w:rPr>
          <w:rFonts w:hint="eastAsia"/>
          <w:highlight w:val="none"/>
          <w:lang w:val="en-US" w:eastAsia="zh-CN"/>
        </w:rPr>
        <w:t>设备</w:t>
      </w:r>
      <w:bookmarkEnd w:id="60"/>
      <w:r>
        <w:rPr>
          <w:rFonts w:hint="eastAsia"/>
          <w:highlight w:val="none"/>
          <w:lang w:val="en-US" w:eastAsia="zh-CN"/>
        </w:rPr>
        <w:t>运维</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基本要求</w:t>
      </w:r>
    </w:p>
    <w:p>
      <w:pPr>
        <w:pStyle w:val="58"/>
        <w:rPr>
          <w:rFonts w:hint="eastAsia"/>
          <w:highlight w:val="none"/>
        </w:rPr>
      </w:pPr>
      <w:r>
        <w:rPr>
          <w:rFonts w:hint="eastAsia"/>
          <w:highlight w:val="none"/>
          <w:lang w:val="en-US" w:eastAsia="zh-CN"/>
        </w:rPr>
        <w:t>设备运维的基本要求如下：</w:t>
      </w:r>
    </w:p>
    <w:p>
      <w:pPr>
        <w:pStyle w:val="176"/>
        <w:numPr>
          <w:ilvl w:val="0"/>
          <w:numId w:val="35"/>
        </w:numPr>
        <w:rPr>
          <w:rFonts w:hint="eastAsia" w:ascii="宋体" w:hAnsi="宋体" w:eastAsia="宋体" w:cs="宋体"/>
          <w:highlight w:val="none"/>
        </w:rPr>
      </w:pPr>
      <w:r>
        <w:rPr>
          <w:rFonts w:hint="eastAsia" w:ascii="宋体" w:hAnsi="宋体" w:eastAsia="宋体" w:cs="宋体"/>
          <w:highlight w:val="none"/>
        </w:rPr>
        <w:t>设备投入运行前，应通过相关主管部门的工程验收，未经验收的设备，不应投入运行。</w:t>
      </w:r>
    </w:p>
    <w:p>
      <w:pPr>
        <w:pStyle w:val="176"/>
        <w:numPr>
          <w:ilvl w:val="0"/>
          <w:numId w:val="35"/>
        </w:numPr>
        <w:rPr>
          <w:rFonts w:hint="eastAsia" w:ascii="宋体" w:hAnsi="宋体" w:eastAsia="宋体" w:cs="宋体"/>
          <w:highlight w:val="none"/>
        </w:rPr>
      </w:pPr>
      <w:r>
        <w:rPr>
          <w:rFonts w:hint="eastAsia" w:ascii="宋体" w:hAnsi="宋体" w:eastAsia="宋体" w:cs="宋体"/>
          <w:highlight w:val="none"/>
        </w:rPr>
        <w:t>对于光纤通信系统软硬件版本的升级，应分析研究其对运行可能造成的影响，制定实施方案，并报上级批准。</w:t>
      </w:r>
    </w:p>
    <w:p>
      <w:pPr>
        <w:pStyle w:val="176"/>
        <w:numPr>
          <w:ilvl w:val="0"/>
          <w:numId w:val="35"/>
        </w:numPr>
        <w:rPr>
          <w:rFonts w:hint="eastAsia" w:ascii="宋体" w:hAnsi="宋体" w:eastAsia="宋体" w:cs="宋体"/>
          <w:highlight w:val="none"/>
        </w:rPr>
      </w:pPr>
      <w:r>
        <w:rPr>
          <w:rFonts w:hint="eastAsia" w:ascii="宋体" w:hAnsi="宋体" w:eastAsia="宋体" w:cs="宋体"/>
          <w:highlight w:val="none"/>
        </w:rPr>
        <w:t>运行中增加的尾纤应穿管或在专用的线槽内进行敷设，光纤配线架及光纤通信设备侧的尾纤应布放美观。退役设备的尾纤等线缆应及时拆除。</w:t>
      </w:r>
    </w:p>
    <w:p>
      <w:pPr>
        <w:pStyle w:val="67"/>
        <w:spacing w:before="120" w:after="120"/>
        <w:rPr>
          <w:rFonts w:hint="eastAsia" w:ascii="黑体" w:hAnsi="Times New Roman" w:eastAsia="黑体" w:cs="Times New Roman"/>
          <w:highlight w:val="none"/>
        </w:rPr>
      </w:pPr>
      <w:r>
        <w:rPr>
          <w:rFonts w:hint="eastAsia" w:ascii="黑体" w:hAnsi="Times New Roman" w:eastAsia="黑体" w:cs="Times New Roman"/>
          <w:highlight w:val="none"/>
          <w:lang w:val="en-US" w:eastAsia="zh-CN"/>
        </w:rPr>
        <w:t>设备巡视</w:t>
      </w:r>
    </w:p>
    <w:p>
      <w:pPr>
        <w:pStyle w:val="58"/>
        <w:rPr>
          <w:rFonts w:hint="eastAsia"/>
          <w:highlight w:val="none"/>
        </w:rPr>
      </w:pPr>
      <w:r>
        <w:rPr>
          <w:rFonts w:hint="eastAsia"/>
          <w:highlight w:val="none"/>
          <w:lang w:val="en-US" w:eastAsia="zh-CN"/>
        </w:rPr>
        <w:t>设备运维的巡视要求如下：</w:t>
      </w:r>
    </w:p>
    <w:p>
      <w:pPr>
        <w:pStyle w:val="176"/>
        <w:numPr>
          <w:ilvl w:val="0"/>
          <w:numId w:val="36"/>
        </w:numPr>
        <w:rPr>
          <w:rFonts w:hint="eastAsia" w:ascii="宋体" w:hAnsi="宋体" w:eastAsia="宋体" w:cs="宋体"/>
          <w:highlight w:val="none"/>
        </w:rPr>
      </w:pPr>
      <w:r>
        <w:rPr>
          <w:rFonts w:hint="eastAsia" w:ascii="宋体" w:hAnsi="宋体" w:eastAsia="宋体" w:cs="宋体"/>
          <w:b w:val="0"/>
          <w:kern w:val="2"/>
          <w:sz w:val="21"/>
          <w:szCs w:val="18"/>
          <w:highlight w:val="none"/>
          <w:lang w:val="en-US" w:eastAsia="zh-CN" w:bidi="ar-SA"/>
        </w:rPr>
        <w:t>SDH设备巡视</w:t>
      </w:r>
    </w:p>
    <w:p>
      <w:pPr>
        <w:pStyle w:val="111"/>
        <w:rPr>
          <w:rFonts w:hint="eastAsia" w:ascii="宋体" w:hAnsi="宋体" w:eastAsia="宋体" w:cs="宋体"/>
          <w:highlight w:val="none"/>
        </w:rPr>
      </w:pPr>
      <w:r>
        <w:rPr>
          <w:rFonts w:hint="eastAsia" w:ascii="宋体" w:hAnsi="宋体" w:eastAsia="宋体" w:cs="宋体"/>
          <w:highlight w:val="none"/>
        </w:rPr>
        <w:t>现场巡视主要检查设备的告警灯状态、散热情况、运行环境等，并定期对光纤通信设备滤网进行清洗，检查设备风扇运行是否正常。</w:t>
      </w:r>
    </w:p>
    <w:p>
      <w:pPr>
        <w:pStyle w:val="111"/>
        <w:rPr>
          <w:rFonts w:hint="eastAsia" w:ascii="宋体" w:hAnsi="宋体" w:eastAsia="宋体" w:cs="宋体"/>
          <w:highlight w:val="none"/>
        </w:rPr>
      </w:pPr>
      <w:r>
        <w:rPr>
          <w:rFonts w:hint="eastAsia" w:ascii="宋体" w:hAnsi="宋体" w:eastAsia="宋体" w:cs="宋体"/>
          <w:highlight w:val="none"/>
        </w:rPr>
        <w:t>具备条件时，可利用网管系统对设备进行巡视和状态检查，内容包括在线光功率、误码性能、告警状态、保护倒换等。</w:t>
      </w:r>
    </w:p>
    <w:p>
      <w:pPr>
        <w:pStyle w:val="176"/>
        <w:numPr>
          <w:ilvl w:val="0"/>
          <w:numId w:val="36"/>
        </w:numPr>
        <w:rPr>
          <w:rFonts w:hint="eastAsia" w:ascii="宋体" w:hAnsi="宋体" w:eastAsia="宋体" w:cs="宋体"/>
          <w:highlight w:val="none"/>
        </w:rPr>
      </w:pPr>
      <w:r>
        <w:rPr>
          <w:rFonts w:hint="eastAsia" w:ascii="宋体" w:hAnsi="宋体" w:eastAsia="宋体" w:cs="宋体"/>
          <w:b w:val="0"/>
          <w:kern w:val="2"/>
          <w:sz w:val="21"/>
          <w:szCs w:val="18"/>
          <w:highlight w:val="none"/>
          <w:lang w:val="en-US" w:eastAsia="zh-CN" w:bidi="ar-SA"/>
        </w:rPr>
        <w:t>路由器、交换机巡视</w:t>
      </w:r>
    </w:p>
    <w:p>
      <w:pPr>
        <w:pStyle w:val="111"/>
        <w:rPr>
          <w:rFonts w:hint="eastAsia" w:ascii="宋体" w:hAnsi="宋体" w:eastAsia="宋体" w:cs="宋体"/>
          <w:highlight w:val="none"/>
        </w:rPr>
      </w:pPr>
      <w:r>
        <w:rPr>
          <w:rFonts w:hint="eastAsia" w:ascii="宋体" w:hAnsi="宋体" w:eastAsia="宋体" w:cs="宋体"/>
          <w:highlight w:val="none"/>
        </w:rPr>
        <w:t>定期巡视路由器、交换机设备运行状态，包括设备CPU、内存使用率是否过高，风扇运行是否正常，设备有无告警，设备日志是否存在设备运行异常记录，检查设备光口收发光功率是否正常，设备电口是否存在误码，确保及时发现设备运行过程中各种异常现象，并采取适当的措施进行恢复和处理，确保业务运行正常。</w:t>
      </w:r>
    </w:p>
    <w:p>
      <w:pPr>
        <w:pStyle w:val="111"/>
        <w:rPr>
          <w:rFonts w:hint="eastAsia" w:ascii="宋体" w:hAnsi="宋体" w:eastAsia="宋体" w:cs="宋体"/>
          <w:highlight w:val="none"/>
        </w:rPr>
      </w:pPr>
      <w:r>
        <w:rPr>
          <w:rFonts w:hint="eastAsia" w:ascii="宋体" w:hAnsi="宋体" w:eastAsia="宋体" w:cs="宋体"/>
          <w:highlight w:val="none"/>
        </w:rPr>
        <w:t>核实设备业务端口信息及端口线缆标签信息是否一致，或有标签对业务情况、业务路径表述不清、不正确等情况，保证业务端口信息及标签信息一致准确。</w:t>
      </w:r>
    </w:p>
    <w:p>
      <w:pPr>
        <w:pStyle w:val="111"/>
        <w:rPr>
          <w:rFonts w:hint="eastAsia" w:ascii="宋体" w:hAnsi="宋体" w:eastAsia="宋体" w:cs="宋体"/>
          <w:highlight w:val="none"/>
        </w:rPr>
      </w:pPr>
      <w:r>
        <w:rPr>
          <w:rFonts w:hint="eastAsia" w:ascii="宋体" w:hAnsi="宋体" w:eastAsia="宋体" w:cs="宋体"/>
          <w:highlight w:val="none"/>
        </w:rPr>
        <w:t>定期检查、备份、测试、除尘清洁等措施，及时发现并提前预防设备在运行过程中可能出现的因自然老化、功能失效、性能下降等问题，并采取适当合理的方式及时予以处理，以消除隐患、预防事故的发生。</w:t>
      </w:r>
    </w:p>
    <w:p>
      <w:pPr>
        <w:pStyle w:val="111"/>
        <w:rPr>
          <w:rFonts w:hint="eastAsia" w:ascii="宋体" w:hAnsi="宋体" w:eastAsia="宋体" w:cs="宋体"/>
          <w:highlight w:val="none"/>
        </w:rPr>
      </w:pPr>
      <w:r>
        <w:rPr>
          <w:rFonts w:hint="eastAsia" w:ascii="宋体" w:hAnsi="宋体" w:eastAsia="宋体" w:cs="宋体"/>
          <w:highlight w:val="none"/>
        </w:rPr>
        <w:t>定期检查ISIS、BGP 等邻居关系及路由表，确保协议运行正常，定期检查监测各VPN业务流量，查看是否有VPN业务流量存在异常，并根据结果合理分配数据网带宽资源。</w:t>
      </w:r>
    </w:p>
    <w:p>
      <w:pPr>
        <w:pStyle w:val="176"/>
        <w:numPr>
          <w:ilvl w:val="0"/>
          <w:numId w:val="36"/>
        </w:numPr>
        <w:rPr>
          <w:rFonts w:hint="eastAsia" w:ascii="宋体" w:hAnsi="宋体" w:eastAsia="宋体" w:cs="宋体"/>
          <w:b w:val="0"/>
          <w:kern w:val="2"/>
          <w:sz w:val="21"/>
          <w:szCs w:val="18"/>
          <w:highlight w:val="none"/>
          <w:lang w:val="en-US" w:eastAsia="zh-CN" w:bidi="ar-SA"/>
        </w:rPr>
      </w:pPr>
      <w:r>
        <w:rPr>
          <w:rFonts w:hint="eastAsia" w:ascii="宋体" w:hAnsi="宋体" w:eastAsia="宋体" w:cs="宋体"/>
          <w:b w:val="0"/>
          <w:kern w:val="2"/>
          <w:sz w:val="21"/>
          <w:szCs w:val="18"/>
          <w:highlight w:val="none"/>
          <w:lang w:val="en-US" w:eastAsia="zh-CN" w:bidi="ar-SA"/>
        </w:rPr>
        <w:t>配线架巡视：及时做好跳线位置调整变更和标签变更记录。定期检查配线架线缆腐蚀情况，做好线缆清洁。</w:t>
      </w:r>
    </w:p>
    <w:p>
      <w:pPr>
        <w:pStyle w:val="176"/>
        <w:numPr>
          <w:ilvl w:val="0"/>
          <w:numId w:val="36"/>
        </w:numPr>
        <w:rPr>
          <w:rFonts w:hint="eastAsia" w:ascii="宋体" w:hAnsi="宋体" w:eastAsia="宋体" w:cs="宋体"/>
          <w:b w:val="0"/>
          <w:kern w:val="2"/>
          <w:sz w:val="21"/>
          <w:szCs w:val="18"/>
          <w:highlight w:val="none"/>
          <w:lang w:val="en-US" w:eastAsia="zh-CN" w:bidi="ar-SA"/>
        </w:rPr>
      </w:pPr>
      <w:r>
        <w:rPr>
          <w:rFonts w:hint="eastAsia" w:ascii="宋体" w:hAnsi="宋体" w:eastAsia="宋体" w:cs="宋体"/>
          <w:b w:val="0"/>
          <w:kern w:val="2"/>
          <w:sz w:val="21"/>
          <w:szCs w:val="18"/>
          <w:highlight w:val="none"/>
          <w:lang w:val="en-US" w:eastAsia="zh-CN" w:bidi="ar-SA"/>
        </w:rPr>
        <w:t>设备定检</w:t>
      </w:r>
      <w:r>
        <w:rPr>
          <w:rFonts w:hint="eastAsia" w:hAnsi="宋体" w:cs="宋体"/>
          <w:b w:val="0"/>
          <w:kern w:val="2"/>
          <w:sz w:val="21"/>
          <w:szCs w:val="18"/>
          <w:highlight w:val="none"/>
          <w:lang w:val="en-US" w:eastAsia="zh-CN" w:bidi="ar-SA"/>
        </w:rPr>
        <w:t>：</w:t>
      </w:r>
    </w:p>
    <w:p>
      <w:pPr>
        <w:pStyle w:val="111"/>
        <w:rPr>
          <w:rFonts w:hint="eastAsia" w:ascii="宋体" w:hAnsi="宋体" w:eastAsia="宋体" w:cs="宋体"/>
          <w:highlight w:val="none"/>
        </w:rPr>
      </w:pPr>
      <w:r>
        <w:rPr>
          <w:rFonts w:hint="eastAsia" w:ascii="宋体" w:hAnsi="宋体" w:eastAsia="宋体" w:cs="宋体"/>
          <w:highlight w:val="none"/>
        </w:rPr>
        <w:t>应定期组织人员对通信设备进行测试，保证电路、设备、运行状态良好。</w:t>
      </w:r>
    </w:p>
    <w:p>
      <w:pPr>
        <w:pStyle w:val="111"/>
        <w:rPr>
          <w:rFonts w:hint="eastAsia" w:ascii="宋体" w:hAnsi="宋体" w:eastAsia="宋体" w:cs="宋体"/>
          <w:highlight w:val="none"/>
        </w:rPr>
      </w:pPr>
      <w:r>
        <w:rPr>
          <w:rFonts w:hint="eastAsia" w:ascii="宋体" w:hAnsi="宋体" w:eastAsia="宋体" w:cs="宋体"/>
          <w:highlight w:val="none"/>
        </w:rPr>
        <w:t>通信设备定检内容应包括网管与监视功能测试、设备性能、误码性能、光功率、设备温度、工作电压等，测试值应在工程设计的允许范围内。</w:t>
      </w:r>
    </w:p>
    <w:p>
      <w:pPr>
        <w:pStyle w:val="111"/>
        <w:rPr>
          <w:rFonts w:hint="eastAsia" w:ascii="宋体" w:hAnsi="宋体" w:eastAsia="宋体" w:cs="宋体"/>
          <w:highlight w:val="none"/>
        </w:rPr>
      </w:pPr>
      <w:r>
        <w:rPr>
          <w:rFonts w:hint="eastAsia" w:ascii="宋体" w:hAnsi="宋体" w:eastAsia="宋体" w:cs="宋体"/>
          <w:highlight w:val="none"/>
        </w:rPr>
        <w:t>应对通信设备检测结果进行记录，并与上一次测试结果进行对比分析。</w:t>
      </w:r>
    </w:p>
    <w:p>
      <w:pPr>
        <w:pStyle w:val="111"/>
        <w:rPr>
          <w:rFonts w:hint="eastAsia" w:ascii="宋体" w:hAnsi="宋体" w:eastAsia="宋体" w:cs="宋体"/>
          <w:highlight w:val="none"/>
        </w:rPr>
      </w:pPr>
      <w:r>
        <w:rPr>
          <w:rFonts w:hint="eastAsia" w:ascii="宋体" w:hAnsi="宋体" w:eastAsia="宋体" w:cs="宋体"/>
          <w:highlight w:val="none"/>
        </w:rPr>
        <w:t>应对通信设备检测结果进行分析，发现存在的问题，及时进行整改。</w:t>
      </w:r>
    </w:p>
    <w:p>
      <w:pPr>
        <w:pStyle w:val="111"/>
        <w:rPr>
          <w:rFonts w:hint="eastAsia" w:ascii="宋体" w:hAnsi="宋体" w:eastAsia="宋体" w:cs="宋体"/>
          <w:b w:val="0"/>
          <w:kern w:val="2"/>
          <w:sz w:val="21"/>
          <w:szCs w:val="18"/>
          <w:highlight w:val="none"/>
          <w:lang w:val="en-US" w:eastAsia="zh-CN" w:bidi="ar-SA"/>
        </w:rPr>
      </w:pPr>
      <w:r>
        <w:rPr>
          <w:rFonts w:hint="eastAsia" w:ascii="宋体" w:hAnsi="宋体" w:eastAsia="宋体" w:cs="宋体"/>
          <w:highlight w:val="none"/>
        </w:rPr>
        <w:t>对可能影响通信业务运行业务的测试项目，结合设备检修工作进行。</w:t>
      </w:r>
    </w:p>
    <w:p>
      <w:pPr>
        <w:pStyle w:val="107"/>
        <w:spacing w:before="120" w:after="120"/>
        <w:rPr>
          <w:highlight w:val="none"/>
        </w:rPr>
      </w:pPr>
      <w:bookmarkStart w:id="61" w:name="_Toc28302"/>
      <w:r>
        <w:rPr>
          <w:rFonts w:hint="eastAsia"/>
          <w:highlight w:val="none"/>
          <w:lang w:val="en-US" w:eastAsia="zh-CN"/>
        </w:rPr>
        <w:t>光缆</w:t>
      </w:r>
      <w:bookmarkEnd w:id="61"/>
      <w:r>
        <w:rPr>
          <w:rFonts w:hint="eastAsia"/>
          <w:highlight w:val="none"/>
          <w:lang w:val="en-US" w:eastAsia="zh-CN"/>
        </w:rPr>
        <w:t>运维</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基本要求</w:t>
      </w:r>
    </w:p>
    <w:p>
      <w:pPr>
        <w:pStyle w:val="58"/>
        <w:rPr>
          <w:rFonts w:hint="eastAsia"/>
          <w:highlight w:val="none"/>
        </w:rPr>
      </w:pPr>
      <w:r>
        <w:rPr>
          <w:rFonts w:hint="eastAsia"/>
          <w:highlight w:val="none"/>
          <w:lang w:val="en-US" w:eastAsia="zh-CN"/>
        </w:rPr>
        <w:t>光缆运维的基本要求如下：</w:t>
      </w:r>
    </w:p>
    <w:p>
      <w:pPr>
        <w:pStyle w:val="176"/>
        <w:numPr>
          <w:ilvl w:val="0"/>
          <w:numId w:val="37"/>
        </w:numPr>
        <w:rPr>
          <w:rFonts w:hint="eastAsia" w:ascii="宋体" w:hAnsi="宋体" w:eastAsia="宋体" w:cs="宋体"/>
          <w:highlight w:val="none"/>
        </w:rPr>
      </w:pPr>
      <w:r>
        <w:rPr>
          <w:rFonts w:hint="eastAsia" w:ascii="宋体" w:hAnsi="宋体" w:eastAsia="宋体" w:cs="宋体"/>
          <w:highlight w:val="none"/>
        </w:rPr>
        <w:t>光缆投入运行前，应经相关主管部门的工程验收，并将光缆验收资料及测试参数报相关通信机构。</w:t>
      </w:r>
    </w:p>
    <w:p>
      <w:pPr>
        <w:pStyle w:val="176"/>
        <w:numPr>
          <w:ilvl w:val="0"/>
          <w:numId w:val="37"/>
        </w:numPr>
        <w:rPr>
          <w:rFonts w:hint="eastAsia" w:ascii="宋体" w:hAnsi="宋体" w:eastAsia="宋体" w:cs="宋体"/>
          <w:highlight w:val="none"/>
        </w:rPr>
      </w:pPr>
      <w:r>
        <w:rPr>
          <w:rFonts w:hint="eastAsia" w:ascii="宋体" w:hAnsi="宋体" w:eastAsia="宋体" w:cs="宋体"/>
          <w:highlight w:val="none"/>
        </w:rPr>
        <w:t>电力特种光缆应与一次线路同步巡视，特殊情况下，可增加光缆线路巡视次数。</w:t>
      </w:r>
    </w:p>
    <w:p>
      <w:pPr>
        <w:pStyle w:val="176"/>
        <w:numPr>
          <w:ilvl w:val="0"/>
          <w:numId w:val="37"/>
        </w:numPr>
        <w:rPr>
          <w:rFonts w:hint="eastAsia" w:ascii="宋体" w:hAnsi="宋体" w:eastAsia="宋体" w:cs="宋体"/>
          <w:highlight w:val="none"/>
        </w:rPr>
      </w:pPr>
      <w:r>
        <w:rPr>
          <w:rFonts w:hint="eastAsia" w:ascii="宋体" w:hAnsi="宋体" w:eastAsia="宋体" w:cs="宋体"/>
          <w:highlight w:val="none"/>
        </w:rPr>
        <w:t>应与线路</w:t>
      </w:r>
      <w:r>
        <w:rPr>
          <w:rFonts w:hint="eastAsia" w:hAnsi="宋体" w:cs="宋体"/>
          <w:highlight w:val="none"/>
          <w:lang w:eastAsia="zh-CN"/>
        </w:rPr>
        <w:t>运维</w:t>
      </w:r>
      <w:r>
        <w:rPr>
          <w:rFonts w:hint="eastAsia" w:ascii="宋体" w:hAnsi="宋体" w:eastAsia="宋体" w:cs="宋体"/>
          <w:highlight w:val="none"/>
        </w:rPr>
        <w:t>部门与通信机构签订</w:t>
      </w:r>
      <w:r>
        <w:rPr>
          <w:rFonts w:hint="eastAsia" w:hAnsi="宋体" w:cs="宋体"/>
          <w:highlight w:val="none"/>
          <w:lang w:eastAsia="zh-CN"/>
        </w:rPr>
        <w:t>运维</w:t>
      </w:r>
      <w:r>
        <w:rPr>
          <w:rFonts w:hint="eastAsia" w:ascii="宋体" w:hAnsi="宋体" w:eastAsia="宋体" w:cs="宋体"/>
          <w:highlight w:val="none"/>
        </w:rPr>
        <w:t>协议，落实特种光缆维护管理工作。</w:t>
      </w:r>
    </w:p>
    <w:p>
      <w:pPr>
        <w:pStyle w:val="176"/>
        <w:numPr>
          <w:ilvl w:val="0"/>
          <w:numId w:val="37"/>
        </w:numPr>
        <w:rPr>
          <w:rFonts w:hint="eastAsia" w:ascii="宋体" w:hAnsi="宋体" w:eastAsia="宋体" w:cs="宋体"/>
          <w:highlight w:val="none"/>
        </w:rPr>
      </w:pPr>
      <w:r>
        <w:rPr>
          <w:rFonts w:hint="eastAsia" w:ascii="宋体" w:hAnsi="宋体" w:eastAsia="宋体" w:cs="宋体"/>
          <w:highlight w:val="none"/>
        </w:rPr>
        <w:t>与通信机构签订</w:t>
      </w:r>
      <w:r>
        <w:rPr>
          <w:rFonts w:hint="eastAsia" w:hAnsi="宋体" w:cs="宋体"/>
          <w:highlight w:val="none"/>
          <w:lang w:eastAsia="zh-CN"/>
        </w:rPr>
        <w:t>运维</w:t>
      </w:r>
      <w:r>
        <w:rPr>
          <w:rFonts w:hint="eastAsia" w:ascii="宋体" w:hAnsi="宋体" w:eastAsia="宋体" w:cs="宋体"/>
          <w:highlight w:val="none"/>
        </w:rPr>
        <w:t>协议，落实普通架空光缆、管道光缆及地埋光缆的维护管理工作。</w:t>
      </w:r>
    </w:p>
    <w:p>
      <w:pPr>
        <w:pStyle w:val="176"/>
        <w:numPr>
          <w:ilvl w:val="0"/>
          <w:numId w:val="37"/>
        </w:numPr>
        <w:rPr>
          <w:rFonts w:hint="eastAsia" w:ascii="宋体" w:hAnsi="宋体" w:eastAsia="宋体" w:cs="宋体"/>
          <w:highlight w:val="none"/>
        </w:rPr>
      </w:pPr>
      <w:r>
        <w:rPr>
          <w:rFonts w:hint="eastAsia" w:ascii="宋体" w:hAnsi="宋体" w:eastAsia="宋体" w:cs="宋体"/>
          <w:highlight w:val="none"/>
        </w:rPr>
        <w:t>光缆线路应定期进行巡视，电力特种光缆与管道光缆的巡视周期应按线路巡视规定执行，其他光缆应至少每月进行一次巡视，重要光缆应加大巡视频率，汛期、覆冰天气等特殊情况，应加强光缆线路巡视工作。巡视中发现异常，应查明原因及时处理。</w:t>
      </w:r>
    </w:p>
    <w:p>
      <w:pPr>
        <w:pStyle w:val="176"/>
        <w:numPr>
          <w:ilvl w:val="0"/>
          <w:numId w:val="37"/>
        </w:numPr>
        <w:rPr>
          <w:rFonts w:hint="eastAsia" w:ascii="宋体" w:hAnsi="宋体" w:eastAsia="宋体" w:cs="宋体"/>
          <w:highlight w:val="none"/>
        </w:rPr>
      </w:pPr>
      <w:r>
        <w:rPr>
          <w:rFonts w:hint="eastAsia" w:ascii="宋体" w:hAnsi="宋体" w:eastAsia="宋体" w:cs="宋体"/>
          <w:highlight w:val="none"/>
        </w:rPr>
        <w:t>应与线路</w:t>
      </w:r>
      <w:r>
        <w:rPr>
          <w:rFonts w:hint="eastAsia" w:hAnsi="宋体" w:cs="宋体"/>
          <w:highlight w:val="none"/>
          <w:lang w:eastAsia="zh-CN"/>
        </w:rPr>
        <w:t>运维</w:t>
      </w:r>
      <w:r>
        <w:rPr>
          <w:rFonts w:hint="eastAsia" w:ascii="宋体" w:hAnsi="宋体" w:eastAsia="宋体" w:cs="宋体"/>
          <w:highlight w:val="none"/>
        </w:rPr>
        <w:t>部门和光缆</w:t>
      </w:r>
      <w:r>
        <w:rPr>
          <w:rFonts w:hint="eastAsia" w:hAnsi="宋体" w:cs="宋体"/>
          <w:highlight w:val="none"/>
          <w:lang w:eastAsia="zh-CN"/>
        </w:rPr>
        <w:t>运维</w:t>
      </w:r>
      <w:r>
        <w:rPr>
          <w:rFonts w:hint="eastAsia" w:ascii="宋体" w:hAnsi="宋体" w:eastAsia="宋体" w:cs="宋体"/>
          <w:highlight w:val="none"/>
        </w:rPr>
        <w:t>责任单位建立定期联系沟通制度和光缆故障处理快速响应机制。</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光缆巡视</w:t>
      </w:r>
    </w:p>
    <w:p>
      <w:pPr>
        <w:pStyle w:val="58"/>
        <w:rPr>
          <w:rFonts w:hint="eastAsia"/>
          <w:highlight w:val="none"/>
        </w:rPr>
      </w:pPr>
      <w:r>
        <w:rPr>
          <w:rFonts w:hint="eastAsia"/>
          <w:highlight w:val="none"/>
          <w:lang w:val="en-US" w:eastAsia="zh-CN"/>
        </w:rPr>
        <w:t>光缆运维的巡视要求如下：</w:t>
      </w:r>
    </w:p>
    <w:p>
      <w:pPr>
        <w:pStyle w:val="176"/>
        <w:numPr>
          <w:ilvl w:val="0"/>
          <w:numId w:val="38"/>
        </w:numPr>
        <w:rPr>
          <w:rFonts w:hint="eastAsia" w:ascii="宋体" w:hAnsi="宋体" w:eastAsia="宋体" w:cs="宋体"/>
          <w:highlight w:val="none"/>
        </w:rPr>
      </w:pPr>
      <w:r>
        <w:rPr>
          <w:rFonts w:hint="eastAsia" w:ascii="宋体" w:hAnsi="宋体" w:eastAsia="宋体" w:cs="宋体"/>
          <w:highlight w:val="none"/>
          <w:lang w:val="en-US" w:eastAsia="zh-CN"/>
        </w:rPr>
        <w:t>OPGW光缆</w:t>
      </w:r>
    </w:p>
    <w:p>
      <w:pPr>
        <w:pStyle w:val="111"/>
        <w:rPr>
          <w:rFonts w:hint="eastAsia" w:ascii="宋体" w:hAnsi="宋体" w:eastAsia="宋体" w:cs="宋体"/>
          <w:highlight w:val="none"/>
        </w:rPr>
      </w:pPr>
      <w:r>
        <w:rPr>
          <w:rFonts w:hint="eastAsia" w:ascii="宋体" w:hAnsi="宋体" w:eastAsia="宋体" w:cs="宋体"/>
          <w:highlight w:val="none"/>
        </w:rPr>
        <w:t>光缆线路金具应完整，不应有变形、锈蚀、烧伤、裂纹、螺栓脱落、金具预绞丝断股或松股等现象，金具与光缆直接不应有相对位移。</w:t>
      </w:r>
    </w:p>
    <w:p>
      <w:pPr>
        <w:pStyle w:val="111"/>
        <w:rPr>
          <w:rFonts w:hint="eastAsia" w:ascii="宋体" w:hAnsi="宋体" w:eastAsia="宋体" w:cs="宋体"/>
          <w:highlight w:val="none"/>
        </w:rPr>
      </w:pPr>
      <w:r>
        <w:rPr>
          <w:rFonts w:hint="eastAsia" w:ascii="宋体" w:hAnsi="宋体" w:eastAsia="宋体" w:cs="宋体"/>
          <w:highlight w:val="none"/>
        </w:rPr>
        <w:t>光缆外层金属绞线不应有单丝损伤、扭曲、弯折、挤压、松股等现象。</w:t>
      </w:r>
    </w:p>
    <w:p>
      <w:pPr>
        <w:pStyle w:val="111"/>
        <w:rPr>
          <w:rFonts w:hint="eastAsia" w:ascii="宋体" w:hAnsi="宋体" w:eastAsia="宋体" w:cs="宋体"/>
          <w:highlight w:val="none"/>
        </w:rPr>
      </w:pPr>
      <w:r>
        <w:rPr>
          <w:rFonts w:hint="eastAsia" w:ascii="宋体" w:hAnsi="宋体" w:eastAsia="宋体" w:cs="宋体"/>
          <w:highlight w:val="none"/>
        </w:rPr>
        <w:t>金属的引下部分及盘留部分不应松散，余缆及余缆架应固定可靠。</w:t>
      </w:r>
    </w:p>
    <w:p>
      <w:pPr>
        <w:pStyle w:val="111"/>
        <w:rPr>
          <w:rFonts w:hint="eastAsia" w:ascii="宋体" w:hAnsi="宋体" w:eastAsia="宋体" w:cs="宋体"/>
          <w:highlight w:val="none"/>
        </w:rPr>
      </w:pPr>
      <w:r>
        <w:rPr>
          <w:rFonts w:hint="eastAsia" w:ascii="宋体" w:hAnsi="宋体" w:eastAsia="宋体" w:cs="宋体"/>
          <w:highlight w:val="none"/>
        </w:rPr>
        <w:t>光缆垂度不应超过正常范围。</w:t>
      </w:r>
    </w:p>
    <w:p>
      <w:pPr>
        <w:pStyle w:val="111"/>
        <w:rPr>
          <w:rFonts w:hint="eastAsia" w:ascii="宋体" w:hAnsi="宋体" w:eastAsia="宋体" w:cs="宋体"/>
          <w:highlight w:val="none"/>
        </w:rPr>
      </w:pPr>
      <w:r>
        <w:rPr>
          <w:rFonts w:hint="eastAsia" w:ascii="宋体" w:hAnsi="宋体" w:eastAsia="宋体" w:cs="宋体"/>
          <w:highlight w:val="none"/>
        </w:rPr>
        <w:t>防振锤应无位移、脱落、偏斜、扭转、钢丝断股等现象，并应与地面垂直。</w:t>
      </w:r>
    </w:p>
    <w:p>
      <w:pPr>
        <w:pStyle w:val="111"/>
        <w:rPr>
          <w:rFonts w:hint="eastAsia" w:ascii="宋体" w:hAnsi="宋体" w:eastAsia="宋体" w:cs="宋体"/>
          <w:highlight w:val="none"/>
        </w:rPr>
      </w:pPr>
      <w:r>
        <w:rPr>
          <w:rFonts w:hint="eastAsia" w:ascii="宋体" w:hAnsi="宋体" w:eastAsia="宋体" w:cs="宋体"/>
          <w:highlight w:val="none"/>
        </w:rPr>
        <w:t>阻尼线应无位移、脱落、偏斜、扭转、钢丝断股等现象，并应与地面垂直。</w:t>
      </w:r>
    </w:p>
    <w:p>
      <w:pPr>
        <w:pStyle w:val="111"/>
        <w:rPr>
          <w:rFonts w:hint="eastAsia" w:ascii="宋体" w:hAnsi="宋体" w:eastAsia="宋体" w:cs="宋体"/>
          <w:highlight w:val="none"/>
        </w:rPr>
      </w:pPr>
      <w:r>
        <w:rPr>
          <w:rFonts w:hint="eastAsia" w:ascii="宋体" w:hAnsi="宋体" w:eastAsia="宋体" w:cs="宋体"/>
          <w:highlight w:val="none"/>
        </w:rPr>
        <w:t>耐张线夹预绞线丝缠绕间隙应均匀，预绞丝末端应与光缆相吻合并且排列整齐，预绞丝不应受损。</w:t>
      </w:r>
    </w:p>
    <w:p>
      <w:pPr>
        <w:pStyle w:val="111"/>
        <w:rPr>
          <w:rFonts w:hint="eastAsia" w:ascii="宋体" w:hAnsi="宋体" w:eastAsia="宋体" w:cs="宋体"/>
          <w:highlight w:val="none"/>
        </w:rPr>
      </w:pPr>
      <w:r>
        <w:rPr>
          <w:rFonts w:hint="eastAsia" w:ascii="宋体" w:hAnsi="宋体" w:eastAsia="宋体" w:cs="宋体"/>
          <w:highlight w:val="none"/>
        </w:rPr>
        <w:t>悬垂线夹预绞丝间隙应均匀、不交叉，金具串应与地面垂直，相关技术指标应符合工程设计要求。</w:t>
      </w:r>
    </w:p>
    <w:p>
      <w:pPr>
        <w:pStyle w:val="111"/>
        <w:rPr>
          <w:rFonts w:hint="eastAsia" w:ascii="宋体" w:hAnsi="宋体" w:eastAsia="宋体" w:cs="宋体"/>
          <w:highlight w:val="none"/>
        </w:rPr>
      </w:pPr>
      <w:r>
        <w:rPr>
          <w:rFonts w:hint="eastAsia" w:ascii="宋体" w:hAnsi="宋体" w:eastAsia="宋体" w:cs="宋体"/>
          <w:highlight w:val="none"/>
        </w:rPr>
        <w:t>引下光缆应顺直美观、固定牢固，不应与杆塔碰擦，弯曲半径应符合工程设计要求。</w:t>
      </w:r>
    </w:p>
    <w:p>
      <w:pPr>
        <w:pStyle w:val="176"/>
        <w:numPr>
          <w:ilvl w:val="0"/>
          <w:numId w:val="0"/>
        </w:numPr>
        <w:ind w:left="425" w:leftChars="0"/>
        <w:rPr>
          <w:rFonts w:hint="eastAsia" w:ascii="宋体" w:hAnsi="宋体" w:eastAsia="宋体" w:cs="宋体"/>
          <w:highlight w:val="none"/>
        </w:rPr>
      </w:pPr>
    </w:p>
    <w:p>
      <w:pPr>
        <w:pStyle w:val="176"/>
        <w:numPr>
          <w:ilvl w:val="0"/>
          <w:numId w:val="38"/>
        </w:numPr>
        <w:rPr>
          <w:rFonts w:hint="eastAsia" w:ascii="宋体" w:hAnsi="宋体" w:eastAsia="宋体" w:cs="宋体"/>
          <w:highlight w:val="none"/>
        </w:rPr>
      </w:pPr>
      <w:r>
        <w:rPr>
          <w:rFonts w:hint="eastAsia" w:ascii="宋体" w:hAnsi="宋体" w:eastAsia="宋体" w:cs="宋体"/>
          <w:b w:val="0"/>
          <w:kern w:val="2"/>
          <w:sz w:val="21"/>
          <w:szCs w:val="18"/>
          <w:highlight w:val="none"/>
          <w:lang w:val="en-US" w:eastAsia="zh-CN" w:bidi="ar-SA"/>
        </w:rPr>
        <w:t>ADSS光缆</w:t>
      </w:r>
    </w:p>
    <w:p>
      <w:pPr>
        <w:pStyle w:val="111"/>
        <w:rPr>
          <w:rFonts w:hint="eastAsia" w:ascii="宋体" w:hAnsi="宋体" w:eastAsia="宋体" w:cs="宋体"/>
          <w:highlight w:val="none"/>
        </w:rPr>
      </w:pPr>
      <w:r>
        <w:rPr>
          <w:rFonts w:hint="eastAsia" w:ascii="宋体" w:hAnsi="宋体" w:eastAsia="宋体" w:cs="宋体"/>
          <w:highlight w:val="none"/>
        </w:rPr>
        <w:t>光缆线路金具应完整，不应有变形、锈蚀、烧伤、裂纹、螺栓脱落、金具预绞丝断股或松股等现象，金具与光缆直接不应有相对位移。</w:t>
      </w:r>
    </w:p>
    <w:p>
      <w:pPr>
        <w:pStyle w:val="111"/>
        <w:rPr>
          <w:rFonts w:hint="eastAsia" w:ascii="宋体" w:hAnsi="宋体" w:eastAsia="宋体" w:cs="宋体"/>
          <w:highlight w:val="none"/>
        </w:rPr>
      </w:pPr>
      <w:r>
        <w:rPr>
          <w:rFonts w:hint="eastAsia" w:ascii="宋体" w:hAnsi="宋体" w:eastAsia="宋体" w:cs="宋体"/>
          <w:highlight w:val="none"/>
        </w:rPr>
        <w:t>光缆外层金属绞线不应有损伤，表面不应有电腐蚀现象，憎水性能不应被破坏。</w:t>
      </w:r>
    </w:p>
    <w:p>
      <w:pPr>
        <w:pStyle w:val="111"/>
        <w:rPr>
          <w:rFonts w:hint="eastAsia" w:ascii="宋体" w:hAnsi="宋体" w:eastAsia="宋体" w:cs="宋体"/>
          <w:highlight w:val="none"/>
        </w:rPr>
      </w:pPr>
      <w:r>
        <w:rPr>
          <w:rFonts w:hint="eastAsia" w:ascii="宋体" w:hAnsi="宋体" w:eastAsia="宋体" w:cs="宋体"/>
          <w:highlight w:val="none"/>
        </w:rPr>
        <w:t>金属的引下部分及盘留部分不应松散，余缆及余缆架应固定可靠。</w:t>
      </w:r>
    </w:p>
    <w:p>
      <w:pPr>
        <w:pStyle w:val="111"/>
        <w:rPr>
          <w:rFonts w:hint="eastAsia" w:ascii="宋体" w:hAnsi="宋体" w:eastAsia="宋体" w:cs="宋体"/>
          <w:highlight w:val="none"/>
        </w:rPr>
      </w:pPr>
      <w:r>
        <w:rPr>
          <w:rFonts w:hint="eastAsia" w:ascii="宋体" w:hAnsi="宋体" w:eastAsia="宋体" w:cs="宋体"/>
          <w:highlight w:val="none"/>
        </w:rPr>
        <w:t>光缆垂度不应超过正常范围。</w:t>
      </w:r>
    </w:p>
    <w:p>
      <w:pPr>
        <w:pStyle w:val="111"/>
        <w:rPr>
          <w:rFonts w:hint="eastAsia" w:ascii="宋体" w:hAnsi="宋体" w:eastAsia="宋体" w:cs="宋体"/>
          <w:highlight w:val="none"/>
        </w:rPr>
      </w:pPr>
      <w:r>
        <w:rPr>
          <w:rFonts w:hint="eastAsia" w:ascii="宋体" w:hAnsi="宋体" w:eastAsia="宋体" w:cs="宋体"/>
          <w:highlight w:val="none"/>
        </w:rPr>
        <w:t>剪除影响光缆的树枝，清除光缆上的杂物。</w:t>
      </w:r>
    </w:p>
    <w:p>
      <w:pPr>
        <w:pStyle w:val="111"/>
        <w:rPr>
          <w:rFonts w:hint="eastAsia" w:ascii="宋体" w:hAnsi="宋体" w:eastAsia="宋体" w:cs="宋体"/>
          <w:highlight w:val="none"/>
        </w:rPr>
      </w:pPr>
      <w:r>
        <w:rPr>
          <w:rFonts w:hint="eastAsia" w:ascii="宋体" w:hAnsi="宋体" w:eastAsia="宋体" w:cs="宋体"/>
          <w:highlight w:val="none"/>
        </w:rPr>
        <w:t>光缆与其他设施、</w:t>
      </w:r>
      <w:r>
        <w:rPr>
          <w:rFonts w:hint="eastAsia" w:hAnsi="宋体" w:cs="宋体"/>
          <w:highlight w:val="none"/>
          <w:lang w:val="en-US" w:eastAsia="zh-CN"/>
        </w:rPr>
        <w:t>树木</w:t>
      </w:r>
      <w:r>
        <w:rPr>
          <w:rFonts w:hint="eastAsia" w:ascii="宋体" w:hAnsi="宋体" w:eastAsia="宋体" w:cs="宋体"/>
          <w:highlight w:val="none"/>
        </w:rPr>
        <w:t>、建筑物等的最小净距应满足表1和表2的要求</w:t>
      </w:r>
      <w:r>
        <w:rPr>
          <w:rFonts w:hint="eastAsia" w:ascii="宋体" w:hAnsi="宋体" w:eastAsia="宋体" w:cs="宋体"/>
          <w:highlight w:val="none"/>
          <w:lang w:eastAsia="zh-CN"/>
        </w:rPr>
        <w:t>。</w:t>
      </w:r>
    </w:p>
    <w:p>
      <w:pPr>
        <w:keepNext w:val="0"/>
        <w:keepLines w:val="0"/>
        <w:pageBreakBefore w:val="0"/>
        <w:widowControl/>
        <w:tabs>
          <w:tab w:val="center" w:pos="4201"/>
          <w:tab w:val="right" w:leader="dot" w:pos="9298"/>
        </w:tabs>
        <w:kinsoku/>
        <w:wordWrap/>
        <w:overflowPunct/>
        <w:topLinePunct w:val="0"/>
        <w:autoSpaceDE/>
        <w:autoSpaceDN/>
        <w:bidi w:val="0"/>
        <w:adjustRightInd/>
        <w:snapToGrid/>
        <w:spacing w:before="157" w:beforeLines="50" w:after="157" w:afterLines="50" w:line="240" w:lineRule="auto"/>
        <w:ind w:firstLine="0" w:firstLineChars="0"/>
        <w:jc w:val="center"/>
        <w:textAlignment w:val="baseline"/>
        <w:rPr>
          <w:rFonts w:hint="eastAsia" w:ascii="黑体" w:hAnsi="黑体" w:eastAsia="黑体" w:cs="黑体"/>
          <w:sz w:val="21"/>
          <w:szCs w:val="21"/>
          <w:highlight w:val="none"/>
          <w:lang w:val="en-US" w:eastAsia="zh-CN" w:bidi="ar-SA"/>
        </w:rPr>
      </w:pPr>
      <w:r>
        <w:rPr>
          <w:rFonts w:hint="eastAsia" w:ascii="黑体" w:hAnsi="黑体" w:eastAsia="黑体" w:cs="黑体"/>
          <w:sz w:val="21"/>
          <w:szCs w:val="21"/>
          <w:highlight w:val="none"/>
          <w:lang w:val="en-US" w:eastAsia="zh-CN" w:bidi="ar-SA"/>
        </w:rPr>
        <w:t>表1  架空光缆与其他设施、树木间的最小水平净距</w:t>
      </w:r>
    </w:p>
    <w:tbl>
      <w:tblPr>
        <w:tblStyle w:val="27"/>
        <w:tblW w:w="7672" w:type="dxa"/>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1800"/>
        <w:gridCol w:w="1936"/>
        <w:gridCol w:w="2184"/>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752" w:type="dxa"/>
            <w:tcBorders>
              <w:bottom w:val="single" w:color="auto" w:sz="8"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名称</w:t>
            </w:r>
          </w:p>
        </w:tc>
        <w:tc>
          <w:tcPr>
            <w:tcW w:w="1800" w:type="dxa"/>
            <w:tcBorders>
              <w:left w:val="single" w:color="000000" w:sz="4" w:space="0"/>
              <w:bottom w:val="single" w:color="auto" w:sz="8"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最小水平净距m</w:t>
            </w:r>
          </w:p>
        </w:tc>
        <w:tc>
          <w:tcPr>
            <w:tcW w:w="1936" w:type="dxa"/>
            <w:tcBorders>
              <w:left w:val="single" w:color="000000" w:sz="4" w:space="0"/>
              <w:bottom w:val="single" w:color="auto" w:sz="8"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名称</w:t>
            </w:r>
          </w:p>
        </w:tc>
        <w:tc>
          <w:tcPr>
            <w:tcW w:w="2184" w:type="dxa"/>
            <w:tcBorders>
              <w:left w:val="single" w:color="000000" w:sz="4" w:space="0"/>
              <w:bottom w:val="single" w:color="auto" w:sz="8"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最小水平净距m</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trHeight w:val="318" w:hRule="atLeast"/>
          <w:jc w:val="center"/>
        </w:trPr>
        <w:tc>
          <w:tcPr>
            <w:tcW w:w="1752" w:type="dxa"/>
            <w:tcBorders>
              <w:top w:val="single" w:color="auto" w:sz="8" w:space="0"/>
              <w:bottom w:val="single" w:color="000000" w:sz="4"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消防栓</w:t>
            </w:r>
          </w:p>
        </w:tc>
        <w:tc>
          <w:tcPr>
            <w:tcW w:w="1800" w:type="dxa"/>
            <w:tcBorders>
              <w:top w:val="single" w:color="auto" w:sz="8" w:space="0"/>
              <w:left w:val="single" w:color="000000" w:sz="4" w:space="0"/>
              <w:bottom w:val="single" w:color="000000" w:sz="4"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1.0</w:t>
            </w:r>
          </w:p>
        </w:tc>
        <w:tc>
          <w:tcPr>
            <w:tcW w:w="1936" w:type="dxa"/>
            <w:tcBorders>
              <w:top w:val="single" w:color="auto" w:sz="8" w:space="0"/>
              <w:left w:val="single" w:color="000000" w:sz="4" w:space="0"/>
              <w:bottom w:val="single" w:color="000000" w:sz="4"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郊区、农村树木</w:t>
            </w:r>
          </w:p>
        </w:tc>
        <w:tc>
          <w:tcPr>
            <w:tcW w:w="2184" w:type="dxa"/>
            <w:tcBorders>
              <w:top w:val="single" w:color="auto" w:sz="8" w:space="0"/>
              <w:left w:val="single" w:color="000000" w:sz="4" w:space="0"/>
              <w:bottom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2.0</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752" w:type="dxa"/>
            <w:tcBorders>
              <w:top w:val="single" w:color="000000" w:sz="4" w:space="0"/>
              <w:bottom w:val="single" w:color="000000" w:sz="4"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人行道（边石）</w:t>
            </w:r>
          </w:p>
        </w:tc>
        <w:tc>
          <w:tcPr>
            <w:tcW w:w="1800" w:type="dxa"/>
            <w:tcBorders>
              <w:top w:val="single" w:color="000000" w:sz="4" w:space="0"/>
              <w:left w:val="single" w:color="000000" w:sz="4" w:space="0"/>
              <w:bottom w:val="single" w:color="000000" w:sz="4"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c>
          <w:tcPr>
            <w:tcW w:w="1936" w:type="dxa"/>
            <w:tcBorders>
              <w:top w:val="single" w:color="000000" w:sz="4" w:space="0"/>
              <w:left w:val="single" w:color="000000" w:sz="4" w:space="0"/>
              <w:bottom w:val="single" w:color="000000" w:sz="4"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铁道</w:t>
            </w:r>
          </w:p>
        </w:tc>
        <w:tc>
          <w:tcPr>
            <w:tcW w:w="2184" w:type="dxa"/>
            <w:tcBorders>
              <w:top w:val="single" w:color="000000" w:sz="4" w:space="0"/>
              <w:left w:val="single" w:color="000000" w:sz="4" w:space="0"/>
              <w:bottom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地面杆高的1.33倍</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752" w:type="dxa"/>
            <w:tcBorders>
              <w:top w:val="single" w:color="000000" w:sz="4"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市区树木</w:t>
            </w:r>
          </w:p>
        </w:tc>
        <w:tc>
          <w:tcPr>
            <w:tcW w:w="1800" w:type="dxa"/>
            <w:tcBorders>
              <w:top w:val="single" w:color="000000" w:sz="4" w:space="0"/>
              <w:left w:val="single" w:color="000000" w:sz="4"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1.25</w:t>
            </w:r>
          </w:p>
        </w:tc>
        <w:tc>
          <w:tcPr>
            <w:tcW w:w="1936" w:type="dxa"/>
            <w:tcBorders>
              <w:top w:val="single" w:color="000000" w:sz="4" w:space="0"/>
              <w:left w:val="single" w:color="000000" w:sz="4" w:space="0"/>
              <w:righ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2184" w:type="dxa"/>
            <w:tcBorders>
              <w:top w:val="single" w:color="000000" w:sz="4" w:space="0"/>
              <w:left w:val="single" w:color="000000" w:sz="4" w:space="0"/>
            </w:tcBorders>
            <w:noWrap w:val="0"/>
            <w:vAlign w:val="top"/>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r>
    </w:tbl>
    <w:p>
      <w:pPr>
        <w:keepNext w:val="0"/>
        <w:keepLines w:val="0"/>
        <w:pageBreakBefore w:val="0"/>
        <w:widowControl/>
        <w:tabs>
          <w:tab w:val="center" w:pos="4201"/>
          <w:tab w:val="right" w:leader="dot" w:pos="9298"/>
        </w:tabs>
        <w:kinsoku/>
        <w:wordWrap/>
        <w:overflowPunct/>
        <w:topLinePunct w:val="0"/>
        <w:autoSpaceDE/>
        <w:autoSpaceDN/>
        <w:bidi w:val="0"/>
        <w:adjustRightInd/>
        <w:snapToGrid/>
        <w:spacing w:before="157" w:beforeLines="50" w:after="157" w:afterLines="50" w:line="240" w:lineRule="auto"/>
        <w:ind w:firstLine="0" w:firstLineChars="0"/>
        <w:jc w:val="center"/>
        <w:textAlignment w:val="baseline"/>
        <w:rPr>
          <w:rFonts w:hint="eastAsia" w:ascii="黑体" w:hAnsi="黑体" w:eastAsia="黑体" w:cs="黑体"/>
          <w:sz w:val="21"/>
          <w:szCs w:val="21"/>
          <w:highlight w:val="none"/>
          <w:lang w:val="en-US" w:eastAsia="zh-CN" w:bidi="ar-SA"/>
        </w:rPr>
      </w:pPr>
      <w:r>
        <w:rPr>
          <w:rFonts w:hint="eastAsia" w:ascii="黑体" w:hAnsi="黑体" w:eastAsia="黑体" w:cs="黑体"/>
          <w:sz w:val="21"/>
          <w:szCs w:val="21"/>
          <w:highlight w:val="none"/>
          <w:lang w:val="en-US" w:eastAsia="zh-CN" w:bidi="ar-SA"/>
        </w:rPr>
        <w:t>表2  光缆与其他建筑物、树木间的最小垂直净距</w:t>
      </w:r>
    </w:p>
    <w:tbl>
      <w:tblPr>
        <w:tblStyle w:val="27"/>
        <w:tblW w:w="8752" w:type="dxa"/>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0" w:type="dxa"/>
          <w:bottom w:w="0" w:type="dxa"/>
          <w:right w:w="0" w:type="dxa"/>
        </w:tblCellMar>
      </w:tblPr>
      <w:tblGrid>
        <w:gridCol w:w="1367"/>
        <w:gridCol w:w="1064"/>
        <w:gridCol w:w="1573"/>
        <w:gridCol w:w="1618"/>
        <w:gridCol w:w="3130"/>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PrEx>
        <w:trPr>
          <w:jc w:val="center"/>
        </w:trPr>
        <w:tc>
          <w:tcPr>
            <w:tcW w:w="1367" w:type="dxa"/>
            <w:vMerge w:val="restart"/>
            <w:tcBorders>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名称</w:t>
            </w:r>
          </w:p>
        </w:tc>
        <w:tc>
          <w:tcPr>
            <w:tcW w:w="2637" w:type="dxa"/>
            <w:gridSpan w:val="2"/>
            <w:tcBorders>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平行时</w:t>
            </w:r>
          </w:p>
        </w:tc>
        <w:tc>
          <w:tcPr>
            <w:tcW w:w="4748" w:type="dxa"/>
            <w:gridSpan w:val="2"/>
            <w:tcBorders>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交越时</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vMerge w:val="continue"/>
            <w:tcBorders>
              <w:top w:val="single" w:color="000000" w:sz="4" w:space="0"/>
              <w:bottom w:val="single" w:color="auto" w:sz="8"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064" w:type="dxa"/>
            <w:tcBorders>
              <w:top w:val="single" w:color="000000" w:sz="4" w:space="0"/>
              <w:left w:val="single" w:color="000000" w:sz="4" w:space="0"/>
              <w:bottom w:val="single" w:color="auto" w:sz="8" w:space="0"/>
              <w:right w:val="single" w:color="000000" w:sz="4" w:space="0"/>
            </w:tcBorders>
            <w:noWrap w:val="0"/>
            <w:vAlign w:val="center"/>
          </w:tcPr>
          <w:p>
            <w:pPr>
              <w:tabs>
                <w:tab w:val="center" w:pos="4201"/>
                <w:tab w:val="right" w:leader="dot" w:pos="9298"/>
              </w:tabs>
              <w:spacing w:line="240" w:lineRule="auto"/>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最小垂直净距m</w:t>
            </w:r>
          </w:p>
        </w:tc>
        <w:tc>
          <w:tcPr>
            <w:tcW w:w="1573" w:type="dxa"/>
            <w:tcBorders>
              <w:top w:val="single" w:color="000000" w:sz="4" w:space="0"/>
              <w:left w:val="single" w:color="000000" w:sz="4" w:space="0"/>
              <w:bottom w:val="single" w:color="auto" w:sz="8"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备注</w:t>
            </w:r>
          </w:p>
        </w:tc>
        <w:tc>
          <w:tcPr>
            <w:tcW w:w="1618" w:type="dxa"/>
            <w:tcBorders>
              <w:top w:val="single" w:color="000000" w:sz="4" w:space="0"/>
              <w:left w:val="single" w:color="000000" w:sz="4" w:space="0"/>
              <w:bottom w:val="single" w:color="auto" w:sz="8" w:space="0"/>
              <w:right w:val="single" w:color="000000" w:sz="4" w:space="0"/>
            </w:tcBorders>
            <w:noWrap w:val="0"/>
            <w:vAlign w:val="center"/>
          </w:tcPr>
          <w:p>
            <w:pPr>
              <w:tabs>
                <w:tab w:val="center" w:pos="4201"/>
                <w:tab w:val="right" w:leader="dot" w:pos="9298"/>
              </w:tabs>
              <w:spacing w:line="240" w:lineRule="auto"/>
              <w:ind w:firstLine="180" w:firstLineChars="1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最小垂直净距m</w:t>
            </w:r>
          </w:p>
        </w:tc>
        <w:tc>
          <w:tcPr>
            <w:tcW w:w="3130" w:type="dxa"/>
            <w:tcBorders>
              <w:top w:val="single" w:color="000000" w:sz="4" w:space="0"/>
              <w:left w:val="single" w:color="000000" w:sz="4" w:space="0"/>
              <w:bottom w:val="single" w:color="auto" w:sz="8" w:space="0"/>
            </w:tcBorders>
            <w:noWrap w:val="0"/>
            <w:vAlign w:val="center"/>
          </w:tcPr>
          <w:p>
            <w:pPr>
              <w:tabs>
                <w:tab w:val="center" w:pos="4201"/>
                <w:tab w:val="right" w:leader="dot" w:pos="9298"/>
              </w:tabs>
              <w:spacing w:line="240" w:lineRule="auto"/>
              <w:ind w:firstLine="1440" w:firstLineChars="8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备注</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tcBorders>
              <w:top w:val="single" w:color="auto" w:sz="8"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街道</w:t>
            </w:r>
          </w:p>
        </w:tc>
        <w:tc>
          <w:tcPr>
            <w:tcW w:w="1064" w:type="dxa"/>
            <w:tcBorders>
              <w:top w:val="single" w:color="auto" w:sz="8"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4.5</w:t>
            </w:r>
          </w:p>
        </w:tc>
        <w:tc>
          <w:tcPr>
            <w:tcW w:w="1573" w:type="dxa"/>
            <w:vMerge w:val="restart"/>
            <w:tcBorders>
              <w:top w:val="single" w:color="auto" w:sz="8" w:space="0"/>
              <w:left w:val="single" w:color="000000" w:sz="4" w:space="0"/>
              <w:right w:val="single" w:color="000000" w:sz="4" w:space="0"/>
            </w:tcBorders>
            <w:noWrap w:val="0"/>
            <w:vAlign w:val="center"/>
          </w:tcPr>
          <w:p>
            <w:pPr>
              <w:tabs>
                <w:tab w:val="center" w:pos="4201"/>
                <w:tab w:val="right" w:leader="dot" w:pos="9298"/>
              </w:tabs>
              <w:spacing w:line="240" w:lineRule="auto"/>
              <w:ind w:firstLine="180" w:firstLineChars="1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最低缆线到地面</w:t>
            </w:r>
          </w:p>
        </w:tc>
        <w:tc>
          <w:tcPr>
            <w:tcW w:w="1618" w:type="dxa"/>
            <w:tcBorders>
              <w:top w:val="single" w:color="auto" w:sz="8"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5.5</w:t>
            </w:r>
          </w:p>
        </w:tc>
        <w:tc>
          <w:tcPr>
            <w:tcW w:w="3130" w:type="dxa"/>
            <w:vMerge w:val="restart"/>
            <w:tcBorders>
              <w:top w:val="single" w:color="auto" w:sz="8" w:space="0"/>
              <w:left w:val="single" w:color="000000" w:sz="4" w:space="0"/>
            </w:tcBorders>
            <w:noWrap w:val="0"/>
            <w:vAlign w:val="center"/>
          </w:tcPr>
          <w:p>
            <w:pPr>
              <w:tabs>
                <w:tab w:val="center" w:pos="4201"/>
                <w:tab w:val="right" w:leader="dot" w:pos="9298"/>
              </w:tabs>
              <w:spacing w:line="240" w:lineRule="auto"/>
              <w:ind w:firstLine="900" w:firstLineChars="5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最低缆线到地面</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胡同</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4</w:t>
            </w:r>
          </w:p>
        </w:tc>
        <w:tc>
          <w:tcPr>
            <w:tcW w:w="1573" w:type="dxa"/>
            <w:vMerge w:val="continue"/>
            <w:tcBorders>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618"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5</w:t>
            </w:r>
          </w:p>
        </w:tc>
        <w:tc>
          <w:tcPr>
            <w:tcW w:w="3130" w:type="dxa"/>
            <w:vMerge w:val="continue"/>
            <w:tcBorders>
              <w:lef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铁道</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3</w:t>
            </w:r>
          </w:p>
        </w:tc>
        <w:tc>
          <w:tcPr>
            <w:tcW w:w="1573" w:type="dxa"/>
            <w:vMerge w:val="continue"/>
            <w:tcBorders>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618"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7.5</w:t>
            </w:r>
          </w:p>
        </w:tc>
        <w:tc>
          <w:tcPr>
            <w:tcW w:w="3130" w:type="dxa"/>
            <w:vMerge w:val="continue"/>
            <w:tcBorders>
              <w:lef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67" w:type="dxa"/>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公路</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3</w:t>
            </w:r>
          </w:p>
        </w:tc>
        <w:tc>
          <w:tcPr>
            <w:tcW w:w="1573" w:type="dxa"/>
            <w:vMerge w:val="continue"/>
            <w:tcBorders>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kern w:val="2"/>
                <w:sz w:val="18"/>
                <w:szCs w:val="18"/>
                <w:highlight w:val="none"/>
                <w:lang w:val="en-US" w:eastAsia="zh-CN" w:bidi="ar-SA"/>
              </w:rPr>
            </w:pPr>
          </w:p>
        </w:tc>
        <w:tc>
          <w:tcPr>
            <w:tcW w:w="1618"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5.5</w:t>
            </w:r>
          </w:p>
        </w:tc>
        <w:tc>
          <w:tcPr>
            <w:tcW w:w="3130" w:type="dxa"/>
            <w:vMerge w:val="continue"/>
            <w:tcBorders>
              <w:lef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土路</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3</w:t>
            </w:r>
          </w:p>
        </w:tc>
        <w:tc>
          <w:tcPr>
            <w:tcW w:w="1573" w:type="dxa"/>
            <w:vMerge w:val="continue"/>
            <w:tcBorders>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618"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4.5</w:t>
            </w:r>
          </w:p>
        </w:tc>
        <w:tc>
          <w:tcPr>
            <w:tcW w:w="3130" w:type="dxa"/>
            <w:vMerge w:val="continue"/>
            <w:tcBorders>
              <w:lef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420" w:firstLineChars="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房屋建筑</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573" w:type="dxa"/>
            <w:tcBorders>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618"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距脊 0.6</w:t>
            </w:r>
          </w:p>
          <w:p>
            <w:pPr>
              <w:tabs>
                <w:tab w:val="center" w:pos="4201"/>
                <w:tab w:val="right" w:leader="dot" w:pos="9298"/>
              </w:tabs>
              <w:spacing w:line="240" w:lineRule="auto"/>
              <w:ind w:firstLine="360" w:firstLineChars="2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距顶 1.5</w:t>
            </w:r>
          </w:p>
        </w:tc>
        <w:tc>
          <w:tcPr>
            <w:tcW w:w="3130" w:type="dxa"/>
            <w:tcBorders>
              <w:lef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最低缆线距屋脊或平顶</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tcBorders>
              <w:top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河流</w:t>
            </w:r>
          </w:p>
        </w:tc>
        <w:tc>
          <w:tcPr>
            <w:tcW w:w="1064" w:type="dxa"/>
            <w:tcBorders>
              <w:top w:val="single" w:color="000000" w:sz="4" w:space="0"/>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573" w:type="dxa"/>
            <w:tcBorders>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618" w:type="dxa"/>
            <w:tcBorders>
              <w:top w:val="single" w:color="000000" w:sz="4" w:space="0"/>
              <w:left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1.0</w:t>
            </w:r>
          </w:p>
        </w:tc>
        <w:tc>
          <w:tcPr>
            <w:tcW w:w="3130" w:type="dxa"/>
            <w:tcBorders>
              <w:left w:val="single" w:color="000000" w:sz="4" w:space="0"/>
            </w:tcBorders>
            <w:noWrap w:val="0"/>
            <w:vAlign w:val="center"/>
          </w:tcPr>
          <w:p>
            <w:pPr>
              <w:tabs>
                <w:tab w:val="center" w:pos="4201"/>
                <w:tab w:val="right" w:leader="dot" w:pos="9298"/>
              </w:tabs>
              <w:spacing w:line="240" w:lineRule="auto"/>
              <w:ind w:firstLine="180" w:firstLineChars="100"/>
              <w:jc w:val="both"/>
              <w:textAlignment w:val="baseline"/>
              <w:rPr>
                <w:rFonts w:hint="eastAsia" w:ascii="宋体" w:hAnsi="宋体" w:eastAsia="宋体" w:cs="宋体"/>
                <w:kern w:val="2"/>
                <w:sz w:val="18"/>
                <w:szCs w:val="18"/>
                <w:highlight w:val="none"/>
                <w:lang w:val="en-US" w:eastAsia="zh-CN" w:bidi="ar-SA"/>
              </w:rPr>
            </w:pPr>
            <w:r>
              <w:rPr>
                <w:rFonts w:hint="eastAsia" w:ascii="宋体" w:hAnsi="宋体" w:eastAsia="宋体" w:cs="宋体"/>
                <w:sz w:val="18"/>
                <w:szCs w:val="18"/>
                <w:highlight w:val="none"/>
                <w:lang w:val="en-US" w:eastAsia="zh-CN" w:bidi="ar-SA"/>
              </w:rPr>
              <w:t>最低缆线距最高水位时最高桅杆顶</w:t>
            </w:r>
          </w:p>
        </w:tc>
      </w:tr>
    </w:tbl>
    <w:p>
      <w:pPr>
        <w:widowControl/>
        <w:tabs>
          <w:tab w:val="center" w:pos="4201"/>
          <w:tab w:val="right" w:leader="dot" w:pos="9298"/>
        </w:tabs>
        <w:adjustRightInd/>
        <w:spacing w:before="157" w:beforeLines="50" w:after="157" w:afterLines="50" w:line="240" w:lineRule="auto"/>
        <w:jc w:val="center"/>
        <w:textAlignment w:val="baseline"/>
        <w:rPr>
          <w:rFonts w:hint="eastAsia" w:ascii="黑体" w:hAnsi="黑体" w:eastAsia="黑体" w:cs="黑体"/>
          <w:highlight w:val="none"/>
          <w:lang w:val="en-US" w:eastAsia="zh-CN"/>
        </w:rPr>
      </w:pPr>
      <w:r>
        <w:rPr>
          <w:rFonts w:hint="eastAsia" w:ascii="黑体" w:hAnsi="黑体" w:eastAsia="黑体" w:cs="黑体"/>
          <w:highlight w:val="none"/>
          <w:lang w:eastAsia="zh-CN"/>
        </w:rPr>
        <w:t>表</w:t>
      </w:r>
      <w:r>
        <w:rPr>
          <w:rFonts w:hint="eastAsia" w:ascii="黑体" w:hAnsi="黑体" w:eastAsia="黑体" w:cs="黑体"/>
          <w:highlight w:val="none"/>
          <w:lang w:val="en-US" w:eastAsia="zh-CN"/>
        </w:rPr>
        <w:t>2  光缆与其他建筑物、树木间的最小垂直净距</w:t>
      </w:r>
      <w:r>
        <w:rPr>
          <w:rFonts w:hint="eastAsia" w:ascii="宋体" w:hAnsi="宋体" w:eastAsia="宋体" w:cs="宋体"/>
          <w:highlight w:val="none"/>
          <w:lang w:val="en-US" w:eastAsia="zh-CN"/>
        </w:rPr>
        <w:t>（续）</w:t>
      </w:r>
    </w:p>
    <w:tbl>
      <w:tblPr>
        <w:tblStyle w:val="27"/>
        <w:tblW w:w="8752" w:type="dxa"/>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0" w:type="dxa"/>
          <w:bottom w:w="0" w:type="dxa"/>
          <w:right w:w="0" w:type="dxa"/>
        </w:tblCellMar>
      </w:tblPr>
      <w:tblGrid>
        <w:gridCol w:w="1367"/>
        <w:gridCol w:w="1064"/>
        <w:gridCol w:w="1573"/>
        <w:gridCol w:w="1618"/>
        <w:gridCol w:w="3130"/>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vMerge w:val="restart"/>
            <w:tcBorders>
              <w:top w:val="single" w:color="auto" w:sz="8"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名称</w:t>
            </w:r>
          </w:p>
        </w:tc>
        <w:tc>
          <w:tcPr>
            <w:tcW w:w="2637" w:type="dxa"/>
            <w:gridSpan w:val="2"/>
            <w:tcBorders>
              <w:top w:val="single" w:color="auto" w:sz="8"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平行时</w:t>
            </w:r>
          </w:p>
        </w:tc>
        <w:tc>
          <w:tcPr>
            <w:tcW w:w="4748" w:type="dxa"/>
            <w:gridSpan w:val="2"/>
            <w:tcBorders>
              <w:top w:val="single" w:color="auto" w:sz="8"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交越时</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vMerge w:val="continue"/>
            <w:tcBorders>
              <w:bottom w:val="single" w:color="auto" w:sz="8"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064" w:type="dxa"/>
            <w:tcBorders>
              <w:top w:val="single" w:color="000000" w:sz="4" w:space="0"/>
              <w:left w:val="single" w:color="000000" w:sz="4" w:space="0"/>
              <w:bottom w:val="single" w:color="auto" w:sz="8" w:space="0"/>
              <w:right w:val="single" w:color="000000" w:sz="4" w:space="0"/>
            </w:tcBorders>
            <w:noWrap w:val="0"/>
            <w:vAlign w:val="center"/>
          </w:tcPr>
          <w:p>
            <w:pPr>
              <w:tabs>
                <w:tab w:val="center" w:pos="4201"/>
                <w:tab w:val="right" w:leader="dot" w:pos="9298"/>
              </w:tabs>
              <w:spacing w:line="240" w:lineRule="auto"/>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最小垂直净距m</w:t>
            </w:r>
          </w:p>
        </w:tc>
        <w:tc>
          <w:tcPr>
            <w:tcW w:w="1573" w:type="dxa"/>
            <w:tcBorders>
              <w:top w:val="single" w:color="000000" w:sz="4" w:space="0"/>
              <w:left w:val="single" w:color="000000" w:sz="4" w:space="0"/>
              <w:bottom w:val="single" w:color="auto" w:sz="8"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备注</w:t>
            </w:r>
          </w:p>
        </w:tc>
        <w:tc>
          <w:tcPr>
            <w:tcW w:w="1618" w:type="dxa"/>
            <w:tcBorders>
              <w:top w:val="single" w:color="000000" w:sz="4" w:space="0"/>
              <w:left w:val="single" w:color="000000" w:sz="4" w:space="0"/>
              <w:bottom w:val="single" w:color="auto" w:sz="8" w:space="0"/>
              <w:right w:val="single" w:color="000000" w:sz="4" w:space="0"/>
            </w:tcBorders>
            <w:noWrap w:val="0"/>
            <w:vAlign w:val="center"/>
          </w:tcPr>
          <w:p>
            <w:pPr>
              <w:tabs>
                <w:tab w:val="center" w:pos="4201"/>
                <w:tab w:val="right" w:leader="dot" w:pos="9298"/>
              </w:tabs>
              <w:spacing w:line="240" w:lineRule="auto"/>
              <w:ind w:firstLine="180" w:firstLineChars="1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最小垂直净距m</w:t>
            </w:r>
          </w:p>
        </w:tc>
        <w:tc>
          <w:tcPr>
            <w:tcW w:w="3130" w:type="dxa"/>
            <w:tcBorders>
              <w:top w:val="single" w:color="000000" w:sz="4" w:space="0"/>
              <w:left w:val="single" w:color="000000" w:sz="4" w:space="0"/>
              <w:bottom w:val="single" w:color="auto" w:sz="8" w:space="0"/>
            </w:tcBorders>
            <w:noWrap w:val="0"/>
            <w:vAlign w:val="center"/>
          </w:tcPr>
          <w:p>
            <w:pPr>
              <w:tabs>
                <w:tab w:val="center" w:pos="4201"/>
                <w:tab w:val="right" w:leader="dot" w:pos="9298"/>
              </w:tabs>
              <w:spacing w:line="240" w:lineRule="auto"/>
              <w:ind w:firstLine="1440" w:firstLineChars="8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备注</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市区树木</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5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618"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1.5</w:t>
            </w:r>
          </w:p>
        </w:tc>
        <w:tc>
          <w:tcPr>
            <w:tcW w:w="3130" w:type="dxa"/>
            <w:vMerge w:val="restart"/>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720" w:firstLineChars="4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最低缆线到树木顶</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郊区树木</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5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618"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1.5</w:t>
            </w:r>
          </w:p>
        </w:tc>
        <w:tc>
          <w:tcPr>
            <w:tcW w:w="3130" w:type="dxa"/>
            <w:vMerge w:val="continue"/>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367" w:type="dxa"/>
            <w:tcBorders>
              <w:top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通信线路</w:t>
            </w:r>
          </w:p>
        </w:tc>
        <w:tc>
          <w:tcPr>
            <w:tcW w:w="1064" w:type="dxa"/>
            <w:tcBorders>
              <w:top w:val="single" w:color="000000" w:sz="4" w:space="0"/>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573" w:type="dxa"/>
            <w:tcBorders>
              <w:top w:val="single" w:color="000000" w:sz="4" w:space="0"/>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c>
          <w:tcPr>
            <w:tcW w:w="1618" w:type="dxa"/>
            <w:tcBorders>
              <w:top w:val="single" w:color="000000" w:sz="4" w:space="0"/>
              <w:left w:val="single" w:color="000000" w:sz="4" w:space="0"/>
              <w:right w:val="single" w:color="000000" w:sz="4" w:space="0"/>
            </w:tcBorders>
            <w:noWrap w:val="0"/>
            <w:vAlign w:val="center"/>
          </w:tcPr>
          <w:p>
            <w:pPr>
              <w:tabs>
                <w:tab w:val="center" w:pos="4201"/>
                <w:tab w:val="right" w:leader="dot" w:pos="9298"/>
              </w:tabs>
              <w:spacing w:line="240" w:lineRule="auto"/>
              <w:ind w:firstLine="540" w:firstLineChars="3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0.6</w:t>
            </w:r>
          </w:p>
        </w:tc>
        <w:tc>
          <w:tcPr>
            <w:tcW w:w="3130" w:type="dxa"/>
            <w:tcBorders>
              <w:top w:val="single" w:color="000000" w:sz="4" w:space="0"/>
              <w:left w:val="single" w:color="000000" w:sz="4" w:space="0"/>
            </w:tcBorders>
            <w:noWrap w:val="0"/>
            <w:vAlign w:val="center"/>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一方最低缆线距一方最高线缆</w:t>
            </w:r>
          </w:p>
        </w:tc>
      </w:tr>
    </w:tbl>
    <w:p>
      <w:pPr>
        <w:pStyle w:val="176"/>
        <w:numPr>
          <w:ilvl w:val="0"/>
          <w:numId w:val="38"/>
        </w:numPr>
        <w:rPr>
          <w:rFonts w:hint="eastAsia" w:ascii="宋体" w:hAnsi="宋体" w:eastAsia="宋体" w:cs="宋体"/>
          <w:highlight w:val="none"/>
        </w:rPr>
      </w:pPr>
      <w:r>
        <w:rPr>
          <w:rFonts w:hint="eastAsia" w:ascii="宋体" w:hAnsi="宋体" w:eastAsia="宋体" w:cs="宋体"/>
          <w:highlight w:val="none"/>
          <w:lang w:val="en-US" w:eastAsia="zh-CN"/>
        </w:rPr>
        <w:t>普通架空光缆</w:t>
      </w:r>
    </w:p>
    <w:p>
      <w:pPr>
        <w:pStyle w:val="111"/>
        <w:rPr>
          <w:rFonts w:hint="eastAsia" w:ascii="宋体" w:hAnsi="宋体" w:eastAsia="宋体" w:cs="宋体"/>
          <w:highlight w:val="none"/>
        </w:rPr>
      </w:pPr>
      <w:r>
        <w:rPr>
          <w:rFonts w:hint="eastAsia" w:ascii="宋体" w:hAnsi="宋体" w:eastAsia="宋体" w:cs="宋体"/>
          <w:highlight w:val="none"/>
        </w:rPr>
        <w:t>光缆外护套不应有损伤。</w:t>
      </w:r>
    </w:p>
    <w:p>
      <w:pPr>
        <w:pStyle w:val="111"/>
        <w:rPr>
          <w:rFonts w:hint="eastAsia" w:ascii="宋体" w:hAnsi="宋体" w:eastAsia="宋体" w:cs="宋体"/>
          <w:highlight w:val="none"/>
        </w:rPr>
      </w:pPr>
      <w:r>
        <w:rPr>
          <w:rFonts w:hint="eastAsia" w:ascii="宋体" w:hAnsi="宋体" w:eastAsia="宋体" w:cs="宋体"/>
          <w:highlight w:val="none"/>
        </w:rPr>
        <w:t>金属的引下部分及盘留部分不应松散，余缆及余缆架应固定可靠。</w:t>
      </w:r>
    </w:p>
    <w:p>
      <w:pPr>
        <w:pStyle w:val="111"/>
        <w:rPr>
          <w:rFonts w:hint="eastAsia" w:ascii="宋体" w:hAnsi="宋体" w:eastAsia="宋体" w:cs="宋体"/>
          <w:highlight w:val="none"/>
        </w:rPr>
      </w:pPr>
      <w:r>
        <w:rPr>
          <w:rFonts w:hint="eastAsia" w:ascii="宋体" w:hAnsi="宋体" w:eastAsia="宋体" w:cs="宋体"/>
          <w:highlight w:val="none"/>
        </w:rPr>
        <w:t>吊线和光缆垂度不应超过正常范围。</w:t>
      </w:r>
    </w:p>
    <w:p>
      <w:pPr>
        <w:pStyle w:val="111"/>
        <w:rPr>
          <w:rFonts w:hint="eastAsia" w:ascii="宋体" w:hAnsi="宋体" w:eastAsia="宋体" w:cs="宋体"/>
          <w:highlight w:val="none"/>
        </w:rPr>
      </w:pPr>
      <w:r>
        <w:rPr>
          <w:rFonts w:hint="eastAsia" w:ascii="宋体" w:hAnsi="宋体" w:eastAsia="宋体" w:cs="宋体"/>
          <w:highlight w:val="none"/>
        </w:rPr>
        <w:t>吊线不应发生断股或松股，检查吊线终结、吊线保护装置及吊线的锈蚀情况。</w:t>
      </w:r>
    </w:p>
    <w:p>
      <w:pPr>
        <w:pStyle w:val="111"/>
        <w:rPr>
          <w:rFonts w:hint="eastAsia" w:ascii="宋体" w:hAnsi="宋体" w:eastAsia="宋体" w:cs="宋体"/>
          <w:highlight w:val="none"/>
        </w:rPr>
      </w:pPr>
      <w:r>
        <w:rPr>
          <w:rFonts w:hint="eastAsia" w:ascii="宋体" w:hAnsi="宋体" w:eastAsia="宋体" w:cs="宋体"/>
          <w:highlight w:val="none"/>
        </w:rPr>
        <w:t>添补或更换缺损的挂钩。</w:t>
      </w:r>
    </w:p>
    <w:p>
      <w:pPr>
        <w:pStyle w:val="111"/>
        <w:rPr>
          <w:rFonts w:hint="eastAsia" w:ascii="宋体" w:hAnsi="宋体" w:eastAsia="宋体" w:cs="宋体"/>
          <w:highlight w:val="none"/>
        </w:rPr>
      </w:pPr>
      <w:r>
        <w:rPr>
          <w:rFonts w:hint="eastAsia" w:ascii="宋体" w:hAnsi="宋体" w:eastAsia="宋体" w:cs="宋体"/>
          <w:highlight w:val="none"/>
        </w:rPr>
        <w:t>与电力线同杆加挂的光缆应满足安全距离要求。</w:t>
      </w:r>
    </w:p>
    <w:p>
      <w:pPr>
        <w:pStyle w:val="111"/>
        <w:rPr>
          <w:rFonts w:hint="eastAsia" w:ascii="宋体" w:hAnsi="宋体" w:eastAsia="宋体" w:cs="宋体"/>
          <w:highlight w:val="none"/>
        </w:rPr>
      </w:pPr>
      <w:r>
        <w:rPr>
          <w:rFonts w:hint="eastAsia" w:ascii="宋体" w:hAnsi="宋体" w:eastAsia="宋体" w:cs="宋体"/>
          <w:highlight w:val="none"/>
        </w:rPr>
        <w:t>剪除影响光缆的树枝，清除光缆上的杂物。</w:t>
      </w:r>
    </w:p>
    <w:p>
      <w:pPr>
        <w:pStyle w:val="111"/>
        <w:rPr>
          <w:rFonts w:hint="eastAsia" w:ascii="宋体" w:hAnsi="宋体" w:eastAsia="宋体" w:cs="宋体"/>
          <w:highlight w:val="none"/>
        </w:rPr>
      </w:pPr>
      <w:r>
        <w:rPr>
          <w:rFonts w:hint="eastAsia" w:ascii="宋体" w:hAnsi="宋体" w:eastAsia="宋体" w:cs="宋体"/>
          <w:highlight w:val="none"/>
        </w:rPr>
        <w:t>光缆与其他设施、数目、建筑物等的最小净距应满足表1和表2的要求。</w:t>
      </w:r>
    </w:p>
    <w:p>
      <w:pPr>
        <w:pStyle w:val="176"/>
        <w:numPr>
          <w:ilvl w:val="0"/>
          <w:numId w:val="38"/>
        </w:numPr>
        <w:rPr>
          <w:rFonts w:hint="eastAsia" w:ascii="宋体" w:hAnsi="宋体" w:eastAsia="宋体" w:cs="宋体"/>
          <w:highlight w:val="none"/>
        </w:rPr>
      </w:pPr>
      <w:r>
        <w:rPr>
          <w:rFonts w:hint="eastAsia" w:ascii="宋体" w:hAnsi="宋体" w:eastAsia="宋体" w:cs="宋体"/>
          <w:highlight w:val="none"/>
          <w:lang w:val="en-US" w:eastAsia="zh-CN"/>
        </w:rPr>
        <w:t>直埋光缆</w:t>
      </w:r>
    </w:p>
    <w:p>
      <w:pPr>
        <w:pStyle w:val="111"/>
        <w:rPr>
          <w:rFonts w:hint="eastAsia" w:ascii="宋体" w:hAnsi="宋体" w:eastAsia="宋体" w:cs="宋体"/>
          <w:highlight w:val="none"/>
        </w:rPr>
      </w:pPr>
      <w:r>
        <w:rPr>
          <w:rFonts w:hint="eastAsia" w:ascii="宋体" w:hAnsi="宋体" w:eastAsia="宋体" w:cs="宋体"/>
          <w:highlight w:val="none"/>
        </w:rPr>
        <w:t>路由覆盖土不应出现明显异常。</w:t>
      </w:r>
    </w:p>
    <w:p>
      <w:pPr>
        <w:pStyle w:val="111"/>
        <w:rPr>
          <w:rFonts w:hint="eastAsia" w:ascii="宋体" w:hAnsi="宋体" w:eastAsia="宋体" w:cs="宋体"/>
          <w:highlight w:val="none"/>
        </w:rPr>
      </w:pPr>
      <w:r>
        <w:rPr>
          <w:rFonts w:hint="eastAsia" w:ascii="宋体" w:hAnsi="宋体" w:eastAsia="宋体" w:cs="宋体"/>
          <w:highlight w:val="none"/>
        </w:rPr>
        <w:t>是否有新的建筑物覆盖。</w:t>
      </w:r>
    </w:p>
    <w:p>
      <w:pPr>
        <w:pStyle w:val="111"/>
        <w:rPr>
          <w:rFonts w:hint="eastAsia" w:ascii="宋体" w:hAnsi="宋体" w:eastAsia="宋体" w:cs="宋体"/>
          <w:highlight w:val="none"/>
        </w:rPr>
      </w:pPr>
      <w:r>
        <w:rPr>
          <w:rFonts w:hint="eastAsia" w:ascii="宋体" w:hAnsi="宋体" w:eastAsia="宋体" w:cs="宋体"/>
          <w:highlight w:val="none"/>
        </w:rPr>
        <w:t>直埋光缆与其他建筑物间的最小净距应满足表3的要求。</w:t>
      </w:r>
    </w:p>
    <w:p>
      <w:pPr>
        <w:tabs>
          <w:tab w:val="center" w:pos="4201"/>
          <w:tab w:val="right" w:leader="dot" w:pos="9298"/>
        </w:tabs>
        <w:spacing w:before="157" w:beforeLines="50" w:after="157" w:afterLines="50" w:line="240" w:lineRule="auto"/>
        <w:ind w:firstLine="0" w:firstLineChars="0"/>
        <w:jc w:val="center"/>
        <w:textAlignment w:val="baseline"/>
        <w:rPr>
          <w:rFonts w:ascii="仿宋" w:hAnsi="仿宋" w:eastAsia="仿宋" w:cs="Times New Roman"/>
          <w:sz w:val="21"/>
          <w:szCs w:val="21"/>
          <w:highlight w:val="none"/>
          <w:lang w:val="en-US" w:eastAsia="zh-CN" w:bidi="ar-SA"/>
        </w:rPr>
      </w:pPr>
      <w:r>
        <w:rPr>
          <w:rFonts w:hint="eastAsia" w:ascii="黑体" w:hAnsi="黑体" w:eastAsia="黑体" w:cs="黑体"/>
          <w:kern w:val="2"/>
          <w:sz w:val="21"/>
          <w:szCs w:val="21"/>
          <w:highlight w:val="none"/>
          <w:lang w:val="en-US" w:eastAsia="zh-CN" w:bidi="ar-SA"/>
        </w:rPr>
        <w:t>表3  直埋光缆与其他建筑物间的最小净距</w:t>
      </w:r>
    </w:p>
    <w:tbl>
      <w:tblPr>
        <w:tblStyle w:val="27"/>
        <w:tblW w:w="8374" w:type="dxa"/>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0" w:type="dxa"/>
          <w:bottom w:w="0" w:type="dxa"/>
          <w:right w:w="0" w:type="dxa"/>
        </w:tblCellMar>
      </w:tblPr>
      <w:tblGrid>
        <w:gridCol w:w="1512"/>
        <w:gridCol w:w="1852"/>
        <w:gridCol w:w="2473"/>
        <w:gridCol w:w="2537"/>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vMerge w:val="restart"/>
            <w:tcBorders>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名称</w:t>
            </w:r>
          </w:p>
        </w:tc>
        <w:tc>
          <w:tcPr>
            <w:tcW w:w="2473" w:type="dxa"/>
            <w:tcBorders>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平行时</w:t>
            </w:r>
          </w:p>
        </w:tc>
        <w:tc>
          <w:tcPr>
            <w:tcW w:w="2537" w:type="dxa"/>
            <w:tcBorders>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交越时</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vMerge w:val="continue"/>
            <w:tcBorders>
              <w:top w:val="single" w:color="000000" w:sz="4" w:space="0"/>
              <w:bottom w:val="single" w:color="auto" w:sz="8"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2473" w:type="dxa"/>
            <w:tcBorders>
              <w:top w:val="single" w:color="000000" w:sz="4" w:space="0"/>
              <w:left w:val="single" w:color="000000" w:sz="4" w:space="0"/>
              <w:bottom w:val="single" w:color="auto" w:sz="8"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最小净距m</w:t>
            </w:r>
          </w:p>
        </w:tc>
        <w:tc>
          <w:tcPr>
            <w:tcW w:w="2537" w:type="dxa"/>
            <w:tcBorders>
              <w:top w:val="single" w:color="000000" w:sz="4" w:space="0"/>
              <w:left w:val="single" w:color="000000" w:sz="4" w:space="0"/>
              <w:bottom w:val="single" w:color="auto" w:sz="8"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最小净距m</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tcBorders>
              <w:top w:val="single" w:color="auto" w:sz="8"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市话管道加线（不包括人孔）</w:t>
            </w:r>
          </w:p>
        </w:tc>
        <w:tc>
          <w:tcPr>
            <w:tcW w:w="2473" w:type="dxa"/>
            <w:tcBorders>
              <w:top w:val="single" w:color="auto" w:sz="8"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0.75</w:t>
            </w:r>
          </w:p>
        </w:tc>
        <w:tc>
          <w:tcPr>
            <w:tcW w:w="2537" w:type="dxa"/>
            <w:tcBorders>
              <w:top w:val="single" w:color="auto" w:sz="8"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0.25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非同沟的直埋通信电缆</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512" w:type="dxa"/>
            <w:vMerge w:val="restart"/>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0" w:firstLineChars="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埋式电力电缆</w:t>
            </w:r>
          </w:p>
        </w:tc>
        <w:tc>
          <w:tcPr>
            <w:tcW w:w="1852"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35kV以下</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512" w:type="dxa"/>
            <w:vMerge w:val="continue"/>
            <w:tcBorders>
              <w:top w:val="single" w:color="000000" w:sz="4" w:space="0"/>
              <w:bottom w:val="single" w:color="auto"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852" w:type="dxa"/>
            <w:tcBorders>
              <w:top w:val="single" w:color="000000" w:sz="4" w:space="0"/>
              <w:left w:val="single" w:color="000000" w:sz="4" w:space="0"/>
              <w:bottom w:val="single" w:color="auto"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35kV以上</w:t>
            </w:r>
          </w:p>
        </w:tc>
        <w:tc>
          <w:tcPr>
            <w:tcW w:w="2473" w:type="dxa"/>
            <w:tcBorders>
              <w:top w:val="single" w:color="000000" w:sz="4" w:space="0"/>
              <w:left w:val="single" w:color="000000" w:sz="4" w:space="0"/>
              <w:bottom w:val="single" w:color="auto"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b/>
                <w:bCs/>
                <w:sz w:val="18"/>
                <w:szCs w:val="18"/>
                <w:highlight w:val="none"/>
                <w:lang w:val="en-US" w:eastAsia="zh-CN" w:bidi="ar-SA"/>
              </w:rPr>
            </w:pPr>
            <w:r>
              <w:rPr>
                <w:rFonts w:hint="eastAsia" w:ascii="宋体" w:hAnsi="宋体" w:eastAsia="宋体" w:cs="宋体"/>
                <w:sz w:val="18"/>
                <w:szCs w:val="18"/>
                <w:highlight w:val="none"/>
                <w:lang w:val="en-US" w:eastAsia="zh-CN" w:bidi="ar-SA"/>
              </w:rPr>
              <w:t>2.0</w:t>
            </w:r>
          </w:p>
        </w:tc>
        <w:tc>
          <w:tcPr>
            <w:tcW w:w="2537" w:type="dxa"/>
            <w:tcBorders>
              <w:top w:val="single" w:color="000000" w:sz="4" w:space="0"/>
              <w:left w:val="single" w:color="000000" w:sz="4" w:space="0"/>
              <w:bottom w:val="single" w:color="auto"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512" w:type="dxa"/>
            <w:vMerge w:val="restart"/>
            <w:tcBorders>
              <w:top w:val="single" w:color="auto"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给水管</w:t>
            </w:r>
          </w:p>
        </w:tc>
        <w:tc>
          <w:tcPr>
            <w:tcW w:w="1852" w:type="dxa"/>
            <w:tcBorders>
              <w:top w:val="single" w:color="auto"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管径小于30cm</w:t>
            </w:r>
          </w:p>
        </w:tc>
        <w:tc>
          <w:tcPr>
            <w:tcW w:w="2473" w:type="dxa"/>
            <w:tcBorders>
              <w:top w:val="single" w:color="auto"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c>
          <w:tcPr>
            <w:tcW w:w="2537" w:type="dxa"/>
            <w:tcBorders>
              <w:top w:val="single" w:color="auto"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512" w:type="dxa"/>
            <w:vMerge w:val="continue"/>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852"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管径为30-50cm</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1.0</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512" w:type="dxa"/>
            <w:vMerge w:val="continue"/>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852"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管径大于50cm</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1.5</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高压石油、天然气管道</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1.0</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热力、下水管</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1.0</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512" w:type="dxa"/>
            <w:vMerge w:val="restart"/>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煤气管</w:t>
            </w:r>
          </w:p>
        </w:tc>
        <w:tc>
          <w:tcPr>
            <w:tcW w:w="1852"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420" w:firstLineChars="0"/>
              <w:jc w:val="both"/>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压力小于3*10</w:t>
            </w:r>
            <w:r>
              <w:rPr>
                <w:rFonts w:hint="eastAsia" w:ascii="宋体" w:hAnsi="宋体" w:eastAsia="宋体" w:cs="宋体"/>
                <w:sz w:val="18"/>
                <w:szCs w:val="18"/>
                <w:highlight w:val="none"/>
                <w:vertAlign w:val="superscript"/>
                <w:lang w:val="en-US" w:eastAsia="zh-CN" w:bidi="ar-SA"/>
              </w:rPr>
              <w:t>5</w:t>
            </w:r>
            <w:r>
              <w:rPr>
                <w:rFonts w:hint="eastAsia" w:ascii="宋体" w:hAnsi="宋体" w:eastAsia="宋体" w:cs="宋体"/>
                <w:sz w:val="18"/>
                <w:szCs w:val="18"/>
                <w:highlight w:val="none"/>
                <w:lang w:val="en-US" w:eastAsia="zh-CN" w:bidi="ar-SA"/>
              </w:rPr>
              <w:t>Pa</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1.0</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512" w:type="dxa"/>
            <w:vMerge w:val="continue"/>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852"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压力小于3*10</w:t>
            </w:r>
            <w:r>
              <w:rPr>
                <w:rFonts w:hint="eastAsia" w:ascii="宋体" w:hAnsi="宋体" w:eastAsia="宋体" w:cs="宋体"/>
                <w:sz w:val="18"/>
                <w:szCs w:val="18"/>
                <w:highlight w:val="none"/>
                <w:vertAlign w:val="superscript"/>
                <w:lang w:val="en-US" w:eastAsia="zh-CN" w:bidi="ar-SA"/>
              </w:rPr>
              <w:t>5</w:t>
            </w:r>
            <w:r>
              <w:rPr>
                <w:rFonts w:hint="eastAsia" w:ascii="宋体" w:hAnsi="宋体" w:eastAsia="宋体" w:cs="宋体"/>
                <w:sz w:val="18"/>
                <w:szCs w:val="18"/>
                <w:highlight w:val="none"/>
                <w:lang w:val="en-US" w:eastAsia="zh-CN" w:bidi="ar-SA"/>
              </w:rPr>
              <w:t>Pa-8*10</w:t>
            </w:r>
            <w:r>
              <w:rPr>
                <w:rFonts w:hint="eastAsia" w:ascii="宋体" w:hAnsi="宋体" w:eastAsia="宋体" w:cs="宋体"/>
                <w:sz w:val="18"/>
                <w:szCs w:val="18"/>
                <w:highlight w:val="none"/>
                <w:vertAlign w:val="superscript"/>
                <w:lang w:val="en-US" w:eastAsia="zh-CN" w:bidi="ar-SA"/>
              </w:rPr>
              <w:t>5</w:t>
            </w:r>
            <w:r>
              <w:rPr>
                <w:rFonts w:hint="eastAsia" w:ascii="宋体" w:hAnsi="宋体" w:eastAsia="宋体" w:cs="宋体"/>
                <w:sz w:val="18"/>
                <w:szCs w:val="18"/>
                <w:highlight w:val="none"/>
                <w:lang w:val="en-US" w:eastAsia="zh-CN" w:bidi="ar-SA"/>
              </w:rPr>
              <w:t>Pa</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b/>
                <w:bCs/>
                <w:sz w:val="18"/>
                <w:szCs w:val="18"/>
                <w:highlight w:val="none"/>
                <w:lang w:val="en-US" w:eastAsia="zh-CN" w:bidi="ar-SA"/>
              </w:rPr>
            </w:pPr>
            <w:r>
              <w:rPr>
                <w:rFonts w:hint="eastAsia" w:ascii="宋体" w:hAnsi="宋体" w:eastAsia="宋体" w:cs="宋体"/>
                <w:sz w:val="18"/>
                <w:szCs w:val="18"/>
                <w:highlight w:val="none"/>
                <w:lang w:val="en-US" w:eastAsia="zh-CN" w:bidi="ar-SA"/>
              </w:rPr>
              <w:t>2.0</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排水沟</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0.8</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0.5</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房屋建筑红线（或基础）</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1.0</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512" w:type="dxa"/>
            <w:vMerge w:val="restart"/>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树木</w:t>
            </w:r>
          </w:p>
        </w:tc>
        <w:tc>
          <w:tcPr>
            <w:tcW w:w="1852"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市内、村镇大树、果树、旁路行树</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0.75</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1512" w:type="dxa"/>
            <w:vMerge w:val="continue"/>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p>
        </w:tc>
        <w:tc>
          <w:tcPr>
            <w:tcW w:w="1852"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市外大树</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b/>
                <w:bCs/>
                <w:sz w:val="18"/>
                <w:szCs w:val="18"/>
                <w:highlight w:val="none"/>
                <w:lang w:val="en-US" w:eastAsia="zh-CN" w:bidi="ar-SA"/>
              </w:rPr>
            </w:pPr>
            <w:r>
              <w:rPr>
                <w:rFonts w:hint="eastAsia" w:ascii="宋体" w:hAnsi="宋体" w:eastAsia="宋体" w:cs="宋体"/>
                <w:sz w:val="18"/>
                <w:szCs w:val="18"/>
                <w:highlight w:val="none"/>
                <w:lang w:val="en-US" w:eastAsia="zh-CN" w:bidi="ar-SA"/>
              </w:rPr>
              <w:t>2.0</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tcBorders>
              <w:top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水井、坟墓</w:t>
            </w:r>
          </w:p>
        </w:tc>
        <w:tc>
          <w:tcPr>
            <w:tcW w:w="2473" w:type="dxa"/>
            <w:tcBorders>
              <w:top w:val="single" w:color="000000" w:sz="4" w:space="0"/>
              <w:left w:val="single" w:color="000000" w:sz="4" w:space="0"/>
              <w:bottom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3.0</w:t>
            </w:r>
          </w:p>
        </w:tc>
        <w:tc>
          <w:tcPr>
            <w:tcW w:w="2537" w:type="dxa"/>
            <w:tcBorders>
              <w:top w:val="single" w:color="000000" w:sz="4" w:space="0"/>
              <w:left w:val="single" w:color="000000" w:sz="4" w:space="0"/>
              <w:bottom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0" w:type="dxa"/>
            <w:bottom w:w="0" w:type="dxa"/>
            <w:right w:w="0" w:type="dxa"/>
          </w:tblCellMar>
        </w:tblPrEx>
        <w:trPr>
          <w:jc w:val="center"/>
        </w:trPr>
        <w:tc>
          <w:tcPr>
            <w:tcW w:w="3364" w:type="dxa"/>
            <w:gridSpan w:val="2"/>
            <w:tcBorders>
              <w:top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粪坑、积肥池、氨水池</w:t>
            </w:r>
          </w:p>
        </w:tc>
        <w:tc>
          <w:tcPr>
            <w:tcW w:w="2473" w:type="dxa"/>
            <w:tcBorders>
              <w:top w:val="single" w:color="000000" w:sz="4" w:space="0"/>
              <w:left w:val="single" w:color="000000" w:sz="4" w:space="0"/>
              <w:righ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eastAsia="宋体" w:cs="宋体"/>
                <w:sz w:val="18"/>
                <w:szCs w:val="18"/>
                <w:highlight w:val="none"/>
                <w:lang w:val="en-US" w:eastAsia="zh-CN" w:bidi="ar-SA"/>
              </w:rPr>
              <w:t>3.0</w:t>
            </w:r>
          </w:p>
        </w:tc>
        <w:tc>
          <w:tcPr>
            <w:tcW w:w="2537" w:type="dxa"/>
            <w:tcBorders>
              <w:top w:val="single" w:color="000000" w:sz="4" w:space="0"/>
              <w:left w:val="single" w:color="000000" w:sz="4" w:space="0"/>
            </w:tcBorders>
            <w:noWrap w:val="0"/>
            <w:vAlign w:val="center"/>
          </w:tcPr>
          <w:p>
            <w:pPr>
              <w:tabs>
                <w:tab w:val="center" w:pos="4201"/>
                <w:tab w:val="right" w:leader="dot" w:pos="9298"/>
              </w:tabs>
              <w:spacing w:line="240" w:lineRule="auto"/>
              <w:ind w:firstLine="360" w:firstLineChars="200"/>
              <w:jc w:val="center"/>
              <w:textAlignment w:val="baseline"/>
              <w:rPr>
                <w:rFonts w:hint="eastAsia" w:ascii="宋体" w:hAnsi="宋体" w:eastAsia="宋体" w:cs="宋体"/>
                <w:sz w:val="18"/>
                <w:szCs w:val="18"/>
                <w:highlight w:val="none"/>
                <w:lang w:val="en-US" w:eastAsia="zh-CN" w:bidi="ar-SA"/>
              </w:rPr>
            </w:pPr>
            <w:r>
              <w:rPr>
                <w:rFonts w:hint="eastAsia" w:ascii="宋体" w:hAnsi="宋体" w:cs="宋体"/>
                <w:sz w:val="18"/>
                <w:szCs w:val="18"/>
                <w:highlight w:val="none"/>
                <w:lang w:val="en-US" w:eastAsia="zh-CN" w:bidi="ar-SA"/>
              </w:rPr>
              <w:t>—</w:t>
            </w:r>
          </w:p>
        </w:tc>
      </w:tr>
    </w:tbl>
    <w:p>
      <w:pPr>
        <w:pStyle w:val="176"/>
        <w:numPr>
          <w:ilvl w:val="0"/>
          <w:numId w:val="38"/>
        </w:numPr>
        <w:rPr>
          <w:rFonts w:hint="eastAsia" w:ascii="宋体" w:hAnsi="宋体" w:eastAsia="宋体" w:cs="宋体"/>
          <w:highlight w:val="none"/>
        </w:rPr>
      </w:pPr>
      <w:r>
        <w:rPr>
          <w:rFonts w:hint="eastAsia" w:ascii="宋体" w:hAnsi="宋体" w:eastAsia="宋体" w:cs="宋体"/>
          <w:highlight w:val="none"/>
          <w:lang w:val="en-US" w:eastAsia="zh-CN"/>
        </w:rPr>
        <w:t>管道光缆</w:t>
      </w:r>
    </w:p>
    <w:p>
      <w:pPr>
        <w:pStyle w:val="111"/>
        <w:rPr>
          <w:rFonts w:hint="eastAsia" w:ascii="宋体" w:hAnsi="宋体" w:eastAsia="宋体" w:cs="宋体"/>
          <w:highlight w:val="none"/>
        </w:rPr>
      </w:pPr>
      <w:r>
        <w:rPr>
          <w:rFonts w:hint="eastAsia" w:ascii="宋体" w:hAnsi="宋体" w:eastAsia="宋体" w:cs="宋体"/>
          <w:highlight w:val="none"/>
        </w:rPr>
        <w:t>人（手）孔内光缆托架、托板应保持完好。</w:t>
      </w:r>
    </w:p>
    <w:p>
      <w:pPr>
        <w:pStyle w:val="111"/>
        <w:rPr>
          <w:rFonts w:hint="eastAsia" w:ascii="宋体" w:hAnsi="宋体" w:eastAsia="宋体" w:cs="宋体"/>
          <w:highlight w:val="none"/>
        </w:rPr>
      </w:pPr>
      <w:r>
        <w:rPr>
          <w:rFonts w:hint="eastAsia" w:ascii="宋体" w:hAnsi="宋体" w:eastAsia="宋体" w:cs="宋体"/>
          <w:highlight w:val="none"/>
        </w:rPr>
        <w:t>人（手）孔内光缆走线应合理并排列整齐。</w:t>
      </w:r>
    </w:p>
    <w:p>
      <w:pPr>
        <w:pStyle w:val="111"/>
        <w:rPr>
          <w:rFonts w:hint="eastAsia" w:ascii="宋体" w:hAnsi="宋体" w:eastAsia="宋体" w:cs="宋体"/>
          <w:highlight w:val="none"/>
        </w:rPr>
      </w:pPr>
      <w:r>
        <w:rPr>
          <w:rFonts w:hint="eastAsia" w:ascii="宋体" w:hAnsi="宋体" w:eastAsia="宋体" w:cs="宋体"/>
          <w:highlight w:val="none"/>
        </w:rPr>
        <w:t>人（手）孔内光缆标识应醒目。</w:t>
      </w:r>
    </w:p>
    <w:p>
      <w:pPr>
        <w:pStyle w:val="111"/>
        <w:rPr>
          <w:rFonts w:hint="eastAsia" w:ascii="宋体" w:hAnsi="宋体" w:eastAsia="宋体" w:cs="宋体"/>
          <w:highlight w:val="none"/>
        </w:rPr>
      </w:pPr>
      <w:r>
        <w:rPr>
          <w:rFonts w:hint="eastAsia" w:ascii="宋体" w:hAnsi="宋体" w:eastAsia="宋体" w:cs="宋体"/>
          <w:highlight w:val="none"/>
        </w:rPr>
        <w:t>人（手）孔内光缆外护层不应有腐蚀、损坏。</w:t>
      </w:r>
    </w:p>
    <w:p>
      <w:pPr>
        <w:pStyle w:val="111"/>
        <w:rPr>
          <w:rFonts w:hint="eastAsia" w:ascii="宋体" w:hAnsi="宋体" w:eastAsia="宋体" w:cs="宋体"/>
          <w:highlight w:val="none"/>
        </w:rPr>
      </w:pPr>
      <w:r>
        <w:rPr>
          <w:rFonts w:hint="eastAsia" w:ascii="宋体" w:hAnsi="宋体" w:eastAsia="宋体" w:cs="宋体"/>
          <w:highlight w:val="none"/>
        </w:rPr>
        <w:t>人（手）孔内管孔的子管应密封良好。</w:t>
      </w:r>
    </w:p>
    <w:p>
      <w:pPr>
        <w:pStyle w:val="111"/>
        <w:rPr>
          <w:rFonts w:hint="eastAsia" w:ascii="宋体" w:hAnsi="宋体" w:eastAsia="宋体" w:cs="宋体"/>
          <w:highlight w:val="none"/>
        </w:rPr>
      </w:pPr>
      <w:r>
        <w:rPr>
          <w:rFonts w:hint="eastAsia" w:ascii="宋体" w:hAnsi="宋体" w:eastAsia="宋体" w:cs="宋体"/>
          <w:highlight w:val="none"/>
        </w:rPr>
        <w:t>定期清除人（手）孔内及光缆上的污垢及杂物。</w:t>
      </w:r>
    </w:p>
    <w:p>
      <w:pPr>
        <w:pStyle w:val="111"/>
        <w:rPr>
          <w:rFonts w:hint="eastAsia" w:ascii="宋体" w:hAnsi="宋体" w:eastAsia="宋体" w:cs="宋体"/>
          <w:highlight w:val="none"/>
        </w:rPr>
      </w:pPr>
      <w:r>
        <w:rPr>
          <w:rFonts w:hint="eastAsia" w:ascii="宋体" w:hAnsi="宋体" w:eastAsia="宋体" w:cs="宋体"/>
          <w:highlight w:val="none"/>
        </w:rPr>
        <w:t>管道或人（手）孔发生沉陷、破损及井盖丢失等情况，应配合管道维护部门及时采取措施进行修复。</w:t>
      </w:r>
    </w:p>
    <w:p>
      <w:pPr>
        <w:pStyle w:val="176"/>
        <w:numPr>
          <w:ilvl w:val="0"/>
          <w:numId w:val="38"/>
        </w:numPr>
        <w:rPr>
          <w:rFonts w:hint="eastAsia" w:ascii="宋体" w:hAnsi="宋体" w:eastAsia="宋体" w:cs="宋体"/>
          <w:highlight w:val="none"/>
        </w:rPr>
      </w:pPr>
      <w:r>
        <w:rPr>
          <w:rFonts w:hint="eastAsia" w:ascii="宋体" w:hAnsi="宋体" w:eastAsia="宋体" w:cs="宋体"/>
          <w:highlight w:val="none"/>
          <w:lang w:val="en-US" w:eastAsia="zh-CN"/>
        </w:rPr>
        <w:t>光缆定检</w:t>
      </w:r>
    </w:p>
    <w:p>
      <w:pPr>
        <w:pStyle w:val="111"/>
        <w:rPr>
          <w:rFonts w:hint="eastAsia" w:ascii="宋体" w:hAnsi="宋体" w:eastAsia="宋体" w:cs="宋体"/>
          <w:highlight w:val="none"/>
        </w:rPr>
      </w:pPr>
      <w:r>
        <w:rPr>
          <w:rFonts w:hint="eastAsia" w:ascii="宋体" w:hAnsi="宋体" w:eastAsia="宋体" w:cs="宋体"/>
          <w:highlight w:val="none"/>
        </w:rPr>
        <w:t>应每年至少对光缆备用纤芯进行一次测试，保证光缆线路运行状态良好。</w:t>
      </w:r>
    </w:p>
    <w:p>
      <w:pPr>
        <w:pStyle w:val="111"/>
        <w:rPr>
          <w:rFonts w:hint="eastAsia" w:ascii="宋体" w:hAnsi="宋体" w:eastAsia="宋体" w:cs="宋体"/>
          <w:highlight w:val="none"/>
        </w:rPr>
      </w:pPr>
      <w:r>
        <w:rPr>
          <w:rFonts w:hint="eastAsia" w:ascii="宋体" w:hAnsi="宋体" w:eastAsia="宋体" w:cs="宋体"/>
          <w:highlight w:val="none"/>
        </w:rPr>
        <w:t>光纤线路的运行环境及运行状态发生改变后，应重新组织测试，测试数据应报送相应通信机构。</w:t>
      </w:r>
    </w:p>
    <w:p>
      <w:pPr>
        <w:pStyle w:val="111"/>
        <w:rPr>
          <w:rFonts w:hint="eastAsia" w:ascii="宋体" w:hAnsi="宋体" w:eastAsia="宋体" w:cs="宋体"/>
          <w:highlight w:val="none"/>
        </w:rPr>
      </w:pPr>
      <w:r>
        <w:rPr>
          <w:rFonts w:hint="eastAsia" w:ascii="宋体" w:hAnsi="宋体" w:eastAsia="宋体" w:cs="宋体"/>
          <w:highlight w:val="none"/>
        </w:rPr>
        <w:t>光缆线路测试内容应包括线路衰减、熔接点损耗、光纤长度等。</w:t>
      </w:r>
    </w:p>
    <w:p>
      <w:pPr>
        <w:pStyle w:val="111"/>
        <w:rPr>
          <w:rFonts w:hint="eastAsia" w:ascii="宋体" w:hAnsi="宋体" w:eastAsia="宋体" w:cs="宋体"/>
          <w:highlight w:val="none"/>
        </w:rPr>
      </w:pPr>
      <w:r>
        <w:rPr>
          <w:rFonts w:hint="eastAsia" w:ascii="宋体" w:hAnsi="宋体" w:eastAsia="宋体" w:cs="宋体"/>
          <w:highlight w:val="none"/>
        </w:rPr>
        <w:t>应对测试结果进行分析，发现存在的问题，及时进行整改。</w:t>
      </w:r>
    </w:p>
    <w:p>
      <w:pPr>
        <w:pStyle w:val="111"/>
        <w:rPr>
          <w:rFonts w:hint="eastAsia" w:ascii="宋体" w:hAnsi="宋体" w:eastAsia="宋体" w:cs="宋体"/>
          <w:highlight w:val="none"/>
        </w:rPr>
      </w:pPr>
      <w:r>
        <w:rPr>
          <w:rFonts w:hint="eastAsia" w:ascii="宋体" w:hAnsi="宋体" w:eastAsia="宋体" w:cs="宋体"/>
          <w:highlight w:val="none"/>
        </w:rPr>
        <w:t>使用OTDR对运行光缆纤芯进行测试时，应将光缆两端光纤通信设备光接口与纤芯断开后方可进行测试，以避免测试时对光器件造成损坏。</w:t>
      </w:r>
    </w:p>
    <w:p>
      <w:pPr>
        <w:pStyle w:val="107"/>
        <w:spacing w:before="120" w:after="120"/>
        <w:rPr>
          <w:highlight w:val="none"/>
        </w:rPr>
      </w:pPr>
      <w:bookmarkStart w:id="62" w:name="_Toc10451"/>
      <w:r>
        <w:rPr>
          <w:rFonts w:hint="eastAsia"/>
          <w:highlight w:val="none"/>
          <w:lang w:val="en-US" w:eastAsia="zh-CN"/>
        </w:rPr>
        <w:t>电源</w:t>
      </w:r>
      <w:bookmarkEnd w:id="62"/>
      <w:r>
        <w:rPr>
          <w:rFonts w:hint="eastAsia"/>
          <w:highlight w:val="none"/>
          <w:lang w:val="en-US" w:eastAsia="zh-CN"/>
        </w:rPr>
        <w:t>运维</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基本要求</w:t>
      </w:r>
    </w:p>
    <w:p>
      <w:pPr>
        <w:pStyle w:val="176"/>
        <w:numPr>
          <w:ilvl w:val="0"/>
          <w:numId w:val="39"/>
        </w:numPr>
        <w:rPr>
          <w:rFonts w:hint="eastAsia" w:ascii="宋体" w:hAnsi="宋体" w:eastAsia="宋体" w:cs="宋体"/>
          <w:highlight w:val="none"/>
        </w:rPr>
      </w:pPr>
      <w:r>
        <w:rPr>
          <w:rFonts w:hint="eastAsia" w:ascii="宋体" w:hAnsi="宋体" w:eastAsia="宋体" w:cs="宋体"/>
          <w:highlight w:val="none"/>
        </w:rPr>
        <w:t>通信运维部门应与变电站、发电厂电源运维部门及继电保护设备运维部门建立长期有效的供电保障机制，保障通信站交直流供电的可靠性。继电保护设备接入（含变更）通信专用电源系统应向通信运维部门办理负载接入（变更）申请。</w:t>
      </w:r>
    </w:p>
    <w:p>
      <w:pPr>
        <w:pStyle w:val="176"/>
        <w:numPr>
          <w:ilvl w:val="0"/>
          <w:numId w:val="39"/>
        </w:numPr>
        <w:rPr>
          <w:rFonts w:hint="eastAsia" w:ascii="宋体" w:hAnsi="宋体" w:eastAsia="宋体" w:cs="宋体"/>
          <w:highlight w:val="none"/>
        </w:rPr>
      </w:pPr>
      <w:r>
        <w:rPr>
          <w:rFonts w:hint="eastAsia" w:ascii="宋体" w:hAnsi="宋体" w:eastAsia="宋体" w:cs="宋体"/>
          <w:highlight w:val="none"/>
        </w:rPr>
        <w:t>厂站内的通信电源应纳入厂站统一日常巡视范围，通信运维人员每季度至少进行一次通信电源设备专业巡视。</w:t>
      </w:r>
    </w:p>
    <w:p>
      <w:pPr>
        <w:pStyle w:val="176"/>
        <w:numPr>
          <w:ilvl w:val="0"/>
          <w:numId w:val="39"/>
        </w:numPr>
        <w:rPr>
          <w:rFonts w:hint="eastAsia" w:ascii="宋体" w:hAnsi="宋体" w:eastAsia="宋体" w:cs="宋体"/>
          <w:highlight w:val="none"/>
        </w:rPr>
      </w:pPr>
      <w:r>
        <w:rPr>
          <w:rFonts w:hint="eastAsia" w:ascii="宋体" w:hAnsi="宋体" w:eastAsia="宋体" w:cs="宋体"/>
          <w:highlight w:val="none"/>
        </w:rPr>
        <w:t>定期对通信电源进行安全检查。</w:t>
      </w:r>
    </w:p>
    <w:p>
      <w:pPr>
        <w:pStyle w:val="176"/>
        <w:numPr>
          <w:ilvl w:val="0"/>
          <w:numId w:val="39"/>
        </w:numPr>
        <w:rPr>
          <w:rFonts w:hint="eastAsia" w:ascii="宋体" w:hAnsi="宋体" w:eastAsia="宋体" w:cs="宋体"/>
          <w:highlight w:val="none"/>
        </w:rPr>
      </w:pPr>
      <w:r>
        <w:rPr>
          <w:rFonts w:hint="eastAsia" w:ascii="宋体" w:hAnsi="宋体" w:eastAsia="宋体" w:cs="宋体"/>
          <w:highlight w:val="none"/>
        </w:rPr>
        <w:t>定期和专项安全检查时，应结合站内实际负载的变化，核算一次电源系统开关容量和蓄电池总容量是否满足系统设计和负载正常运行要求；必要时应采取增加设备、扩容模块或负载调整等措施加以解决。</w:t>
      </w:r>
    </w:p>
    <w:p>
      <w:pPr>
        <w:pStyle w:val="176"/>
        <w:numPr>
          <w:ilvl w:val="0"/>
          <w:numId w:val="39"/>
        </w:numPr>
        <w:rPr>
          <w:rFonts w:hint="eastAsia" w:ascii="宋体" w:hAnsi="宋体" w:eastAsia="宋体" w:cs="宋体"/>
          <w:highlight w:val="none"/>
        </w:rPr>
      </w:pPr>
      <w:r>
        <w:rPr>
          <w:rFonts w:hint="eastAsia" w:ascii="宋体" w:hAnsi="宋体" w:eastAsia="宋体" w:cs="宋体"/>
          <w:highlight w:val="none"/>
        </w:rPr>
        <w:t>应制定通信电源应急演练计划，编写演练方案，落实应急演练保障措施，实施应急演练工作，增强预案的有效性和可操作性，提升应急处置的实战能力。</w:t>
      </w:r>
    </w:p>
    <w:p>
      <w:pPr>
        <w:pStyle w:val="176"/>
        <w:numPr>
          <w:ilvl w:val="0"/>
          <w:numId w:val="39"/>
        </w:numPr>
        <w:rPr>
          <w:rFonts w:hint="eastAsia" w:ascii="宋体" w:hAnsi="宋体" w:eastAsia="宋体" w:cs="宋体"/>
          <w:highlight w:val="none"/>
        </w:rPr>
      </w:pPr>
      <w:r>
        <w:rPr>
          <w:rFonts w:hint="eastAsia" w:ascii="宋体" w:hAnsi="宋体" w:eastAsia="宋体" w:cs="宋体"/>
          <w:highlight w:val="none"/>
        </w:rPr>
        <w:t>站应有电源系统图及交直流配电图，包含各级交直流馈线网络，注明各级交直流断路器的型号及容量等。</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电源巡视</w:t>
      </w:r>
    </w:p>
    <w:p>
      <w:pPr>
        <w:pStyle w:val="176"/>
        <w:numPr>
          <w:ilvl w:val="0"/>
          <w:numId w:val="40"/>
        </w:numPr>
        <w:rPr>
          <w:rFonts w:hint="eastAsia" w:ascii="宋体" w:hAnsi="宋体" w:eastAsia="宋体" w:cs="宋体"/>
          <w:highlight w:val="none"/>
        </w:rPr>
      </w:pPr>
      <w:r>
        <w:rPr>
          <w:rFonts w:hint="eastAsia" w:ascii="宋体" w:hAnsi="宋体" w:eastAsia="宋体" w:cs="宋体"/>
          <w:highlight w:val="none"/>
        </w:rPr>
        <w:t>-48V高频开关电源巡视要求</w:t>
      </w:r>
    </w:p>
    <w:p>
      <w:pPr>
        <w:pStyle w:val="111"/>
        <w:rPr>
          <w:rFonts w:hint="eastAsia" w:ascii="宋体" w:hAnsi="宋体" w:eastAsia="宋体" w:cs="宋体"/>
          <w:highlight w:val="none"/>
        </w:rPr>
      </w:pPr>
      <w:r>
        <w:rPr>
          <w:rFonts w:hint="eastAsia" w:ascii="宋体" w:hAnsi="宋体" w:eastAsia="宋体" w:cs="宋体"/>
          <w:highlight w:val="none"/>
        </w:rPr>
        <w:t>检查设备当前有无异常告警，检查历史告警记录。</w:t>
      </w:r>
    </w:p>
    <w:p>
      <w:pPr>
        <w:pStyle w:val="111"/>
        <w:rPr>
          <w:rFonts w:hint="eastAsia" w:ascii="宋体" w:hAnsi="宋体" w:eastAsia="宋体" w:cs="宋体"/>
          <w:highlight w:val="none"/>
        </w:rPr>
      </w:pPr>
      <w:r>
        <w:rPr>
          <w:rFonts w:hint="eastAsia" w:ascii="宋体" w:hAnsi="宋体" w:eastAsia="宋体" w:cs="宋体"/>
          <w:highlight w:val="none"/>
        </w:rPr>
        <w:t>检查监控单元均充、浮充时的各项参数设置是否正常。</w:t>
      </w:r>
    </w:p>
    <w:p>
      <w:pPr>
        <w:pStyle w:val="111"/>
        <w:rPr>
          <w:rFonts w:hint="eastAsia" w:ascii="宋体" w:hAnsi="宋体" w:eastAsia="宋体" w:cs="宋体"/>
          <w:highlight w:val="none"/>
        </w:rPr>
      </w:pPr>
      <w:r>
        <w:rPr>
          <w:rFonts w:hint="eastAsia" w:ascii="宋体" w:hAnsi="宋体" w:eastAsia="宋体" w:cs="宋体"/>
          <w:highlight w:val="none"/>
        </w:rPr>
        <w:t>检查各个整流模块的均流性能，使其输出负荷均分，各个整流模块均在最佳工作状态。</w:t>
      </w:r>
    </w:p>
    <w:p>
      <w:pPr>
        <w:pStyle w:val="111"/>
        <w:rPr>
          <w:rFonts w:hint="eastAsia" w:ascii="宋体" w:hAnsi="宋体" w:eastAsia="宋体" w:cs="宋体"/>
          <w:highlight w:val="none"/>
        </w:rPr>
      </w:pPr>
      <w:r>
        <w:rPr>
          <w:rFonts w:hint="eastAsia" w:ascii="宋体" w:hAnsi="宋体" w:eastAsia="宋体" w:cs="宋体"/>
          <w:highlight w:val="none"/>
        </w:rPr>
        <w:t>测量交流输入电压、直流输出电压、直流输出电流等，检查其与监控单元、表计显示是否一致。</w:t>
      </w:r>
    </w:p>
    <w:p>
      <w:pPr>
        <w:pStyle w:val="111"/>
        <w:rPr>
          <w:rFonts w:hint="eastAsia" w:ascii="宋体" w:hAnsi="宋体" w:eastAsia="宋体" w:cs="宋体"/>
          <w:highlight w:val="none"/>
        </w:rPr>
      </w:pPr>
      <w:r>
        <w:rPr>
          <w:rFonts w:hint="eastAsia" w:ascii="宋体" w:hAnsi="宋体" w:eastAsia="宋体" w:cs="宋体"/>
          <w:highlight w:val="none"/>
        </w:rPr>
        <w:t>清洁整流模块的表面、进出风口、风扇及过滤网或通风栅格等，以免灰尘积累过多，造成电气绝缘程度下降，影响功率的输出。</w:t>
      </w:r>
    </w:p>
    <w:p>
      <w:pPr>
        <w:pStyle w:val="111"/>
        <w:rPr>
          <w:rFonts w:hint="eastAsia" w:ascii="宋体" w:hAnsi="宋体" w:eastAsia="宋体" w:cs="宋体"/>
          <w:highlight w:val="none"/>
        </w:rPr>
      </w:pPr>
      <w:r>
        <w:rPr>
          <w:rFonts w:hint="eastAsia" w:ascii="宋体" w:hAnsi="宋体" w:eastAsia="宋体" w:cs="宋体"/>
          <w:highlight w:val="none"/>
        </w:rPr>
        <w:t>每年雷雨季节前和雷雨季节后，应检查防雷器件是否完好。</w:t>
      </w:r>
    </w:p>
    <w:p>
      <w:pPr>
        <w:pStyle w:val="111"/>
        <w:rPr>
          <w:rFonts w:hint="eastAsia" w:ascii="宋体" w:hAnsi="宋体" w:eastAsia="宋体" w:cs="宋体"/>
          <w:highlight w:val="none"/>
        </w:rPr>
      </w:pPr>
      <w:r>
        <w:rPr>
          <w:rFonts w:hint="eastAsia" w:ascii="宋体" w:hAnsi="宋体" w:eastAsia="宋体" w:cs="宋体"/>
          <w:highlight w:val="none"/>
        </w:rPr>
        <w:t>检查各种断路器、熔断器插接件、接线端子等部位应接触良好，无松动，无电蚀，并处在正确位置。馈电母线、电缆及软连接线等应连接可靠，线缆应无老化、刮伤、破损等现象。</w:t>
      </w:r>
    </w:p>
    <w:p>
      <w:pPr>
        <w:pStyle w:val="111"/>
        <w:rPr>
          <w:rFonts w:hint="eastAsia" w:ascii="宋体" w:hAnsi="宋体" w:eastAsia="宋体" w:cs="宋体"/>
          <w:highlight w:val="none"/>
        </w:rPr>
      </w:pPr>
      <w:r>
        <w:rPr>
          <w:rFonts w:hint="eastAsia" w:ascii="宋体" w:hAnsi="宋体" w:eastAsia="宋体" w:cs="宋体"/>
          <w:highlight w:val="none"/>
        </w:rPr>
        <w:t>检查高频开关电源工作地、保护地是否可靠接地。</w:t>
      </w:r>
    </w:p>
    <w:p>
      <w:pPr>
        <w:pStyle w:val="111"/>
        <w:rPr>
          <w:rFonts w:hint="eastAsia" w:ascii="宋体" w:hAnsi="宋体" w:eastAsia="宋体" w:cs="宋体"/>
          <w:highlight w:val="none"/>
        </w:rPr>
      </w:pPr>
      <w:r>
        <w:rPr>
          <w:rFonts w:hint="eastAsia" w:ascii="宋体" w:hAnsi="宋体" w:eastAsia="宋体" w:cs="宋体"/>
          <w:highlight w:val="none"/>
        </w:rPr>
        <w:t>检查高频开关电源设备标识清晰，标识无脱落。</w:t>
      </w:r>
    </w:p>
    <w:p>
      <w:pPr>
        <w:pStyle w:val="176"/>
        <w:numPr>
          <w:ilvl w:val="0"/>
          <w:numId w:val="40"/>
        </w:numPr>
        <w:rPr>
          <w:rFonts w:hint="eastAsia" w:ascii="宋体" w:hAnsi="宋体" w:eastAsia="宋体" w:cs="宋体"/>
          <w:highlight w:val="none"/>
        </w:rPr>
      </w:pPr>
      <w:r>
        <w:rPr>
          <w:rFonts w:hint="eastAsia" w:ascii="宋体" w:hAnsi="宋体" w:eastAsia="宋体" w:cs="宋体"/>
          <w:highlight w:val="none"/>
        </w:rPr>
        <w:t>通信用UPS电源巡视要求</w:t>
      </w:r>
    </w:p>
    <w:p>
      <w:pPr>
        <w:pStyle w:val="111"/>
        <w:rPr>
          <w:rFonts w:hint="eastAsia" w:ascii="宋体" w:hAnsi="宋体" w:eastAsia="宋体" w:cs="宋体"/>
          <w:highlight w:val="none"/>
        </w:rPr>
      </w:pPr>
      <w:r>
        <w:rPr>
          <w:rFonts w:hint="eastAsia" w:ascii="宋体" w:hAnsi="宋体" w:eastAsia="宋体" w:cs="宋体"/>
          <w:highlight w:val="none"/>
        </w:rPr>
        <w:t>检查UPS电源当前有无异常告警，检查历史告警记录。检查UPS电源运行有无异常噪声。</w:t>
      </w:r>
    </w:p>
    <w:p>
      <w:pPr>
        <w:pStyle w:val="111"/>
        <w:rPr>
          <w:rFonts w:hint="eastAsia" w:ascii="宋体" w:hAnsi="宋体" w:eastAsia="宋体" w:cs="宋体"/>
          <w:highlight w:val="none"/>
        </w:rPr>
      </w:pPr>
      <w:r>
        <w:rPr>
          <w:rFonts w:hint="eastAsia" w:ascii="宋体" w:hAnsi="宋体" w:eastAsia="宋体" w:cs="宋体"/>
          <w:highlight w:val="none"/>
        </w:rPr>
        <w:t>检查UPS电源处于正常运行方式：整流器、逆变器投入运行，均充、浮充工作时的参数设置，设定值与实际值是否相符。</w:t>
      </w:r>
    </w:p>
    <w:p>
      <w:pPr>
        <w:pStyle w:val="111"/>
        <w:rPr>
          <w:rFonts w:hint="eastAsia" w:ascii="宋体" w:hAnsi="宋体" w:eastAsia="宋体" w:cs="宋体"/>
          <w:highlight w:val="none"/>
        </w:rPr>
      </w:pPr>
      <w:r>
        <w:rPr>
          <w:rFonts w:hint="eastAsia" w:ascii="宋体" w:hAnsi="宋体" w:eastAsia="宋体" w:cs="宋体"/>
          <w:highlight w:val="none"/>
        </w:rPr>
        <w:t>测量交流（旁路）输入电压，交流输出电压、频率、相位、电流等，检查其与监控单元、表计显示是否一致。</w:t>
      </w:r>
    </w:p>
    <w:p>
      <w:pPr>
        <w:pStyle w:val="111"/>
        <w:rPr>
          <w:rFonts w:hint="eastAsia" w:ascii="宋体" w:hAnsi="宋体" w:eastAsia="宋体" w:cs="宋体"/>
          <w:highlight w:val="none"/>
        </w:rPr>
      </w:pPr>
      <w:r>
        <w:rPr>
          <w:rFonts w:hint="eastAsia" w:ascii="宋体" w:hAnsi="宋体" w:eastAsia="宋体" w:cs="宋体"/>
          <w:highlight w:val="none"/>
        </w:rPr>
        <w:t>清洁UPS主机进出风口、风扇及过滤网或通风栅格等。</w:t>
      </w:r>
    </w:p>
    <w:p>
      <w:pPr>
        <w:pStyle w:val="111"/>
        <w:rPr>
          <w:rFonts w:hint="eastAsia" w:ascii="宋体" w:hAnsi="宋体" w:eastAsia="宋体" w:cs="宋体"/>
          <w:highlight w:val="none"/>
        </w:rPr>
      </w:pPr>
      <w:r>
        <w:rPr>
          <w:rFonts w:hint="eastAsia" w:ascii="宋体" w:hAnsi="宋体" w:eastAsia="宋体" w:cs="宋体"/>
          <w:highlight w:val="none"/>
        </w:rPr>
        <w:t>每年雷雨季节前和雷雨季节后，应检查防雷器件是否完好。</w:t>
      </w:r>
    </w:p>
    <w:p>
      <w:pPr>
        <w:pStyle w:val="111"/>
        <w:rPr>
          <w:rFonts w:hint="eastAsia" w:ascii="宋体" w:hAnsi="宋体" w:eastAsia="宋体" w:cs="宋体"/>
          <w:highlight w:val="none"/>
        </w:rPr>
      </w:pPr>
      <w:r>
        <w:rPr>
          <w:rFonts w:hint="eastAsia" w:ascii="宋体" w:hAnsi="宋体" w:eastAsia="宋体" w:cs="宋体"/>
          <w:highlight w:val="none"/>
        </w:rPr>
        <w:t>检查各种断路器、熔断器插接件、接线端子等部位是否接触良好，有无松动及电蚀现象；馈电母线、电缆及软连接线等是否连接可靠，线缆是否出现老化、刮伤、破损等现象。</w:t>
      </w:r>
    </w:p>
    <w:p>
      <w:pPr>
        <w:pStyle w:val="111"/>
        <w:rPr>
          <w:rFonts w:hint="eastAsia" w:ascii="宋体" w:hAnsi="宋体" w:eastAsia="宋体" w:cs="宋体"/>
          <w:highlight w:val="none"/>
        </w:rPr>
      </w:pPr>
      <w:r>
        <w:rPr>
          <w:rFonts w:hint="eastAsia" w:ascii="宋体" w:hAnsi="宋体" w:eastAsia="宋体" w:cs="宋体"/>
          <w:highlight w:val="none"/>
        </w:rPr>
        <w:t>检查UPS电源设备机壳是否可靠接地。检查UPS电源设备标识清晰，标识无脱落。</w:t>
      </w:r>
    </w:p>
    <w:p>
      <w:pPr>
        <w:pStyle w:val="176"/>
        <w:numPr>
          <w:ilvl w:val="0"/>
          <w:numId w:val="40"/>
        </w:numPr>
        <w:rPr>
          <w:rFonts w:hint="eastAsia" w:ascii="宋体" w:hAnsi="宋体" w:eastAsia="宋体" w:cs="宋体"/>
          <w:highlight w:val="none"/>
        </w:rPr>
      </w:pPr>
      <w:r>
        <w:rPr>
          <w:rFonts w:hint="eastAsia" w:ascii="宋体" w:hAnsi="宋体" w:eastAsia="宋体" w:cs="宋体"/>
          <w:highlight w:val="none"/>
        </w:rPr>
        <w:t>交、直流配电屏巡视要求</w:t>
      </w:r>
    </w:p>
    <w:p>
      <w:pPr>
        <w:pStyle w:val="111"/>
        <w:rPr>
          <w:rFonts w:hint="eastAsia" w:ascii="宋体" w:hAnsi="宋体" w:eastAsia="宋体" w:cs="宋体"/>
          <w:highlight w:val="none"/>
        </w:rPr>
      </w:pPr>
      <w:r>
        <w:rPr>
          <w:rFonts w:hint="eastAsia" w:ascii="宋体" w:hAnsi="宋体" w:eastAsia="宋体" w:cs="宋体"/>
          <w:highlight w:val="none"/>
        </w:rPr>
        <w:t>检查承载负荷的各断路器是否在投运状态。</w:t>
      </w:r>
    </w:p>
    <w:p>
      <w:pPr>
        <w:pStyle w:val="111"/>
        <w:rPr>
          <w:rFonts w:hint="eastAsia" w:ascii="宋体" w:hAnsi="宋体" w:eastAsia="宋体" w:cs="宋体"/>
          <w:highlight w:val="none"/>
        </w:rPr>
      </w:pPr>
      <w:r>
        <w:rPr>
          <w:rFonts w:hint="eastAsia" w:ascii="宋体" w:hAnsi="宋体" w:eastAsia="宋体" w:cs="宋体"/>
          <w:highlight w:val="none"/>
        </w:rPr>
        <w:t>测量交、直流输入电压，交、直流输出电压、输出电流等，检查其与监控单元、表计显示是否一致。</w:t>
      </w:r>
    </w:p>
    <w:p>
      <w:pPr>
        <w:pStyle w:val="111"/>
        <w:rPr>
          <w:rFonts w:hint="eastAsia" w:ascii="宋体" w:hAnsi="宋体" w:eastAsia="宋体" w:cs="宋体"/>
          <w:highlight w:val="none"/>
        </w:rPr>
      </w:pPr>
      <w:r>
        <w:rPr>
          <w:rFonts w:hint="eastAsia" w:ascii="宋体" w:hAnsi="宋体" w:eastAsia="宋体" w:cs="宋体"/>
          <w:highlight w:val="none"/>
        </w:rPr>
        <w:t>每年雷雨季节前和雷雨季节后，应检查防雷器件是否完好。</w:t>
      </w:r>
    </w:p>
    <w:p>
      <w:pPr>
        <w:pStyle w:val="111"/>
        <w:rPr>
          <w:rFonts w:hint="eastAsia" w:ascii="宋体" w:hAnsi="宋体" w:eastAsia="宋体" w:cs="宋体"/>
          <w:highlight w:val="none"/>
        </w:rPr>
      </w:pPr>
      <w:r>
        <w:rPr>
          <w:rFonts w:hint="eastAsia" w:ascii="宋体" w:hAnsi="宋体" w:eastAsia="宋体" w:cs="宋体"/>
          <w:highlight w:val="none"/>
        </w:rPr>
        <w:t>检查交、直流配电屏保护地是否可靠接地。</w:t>
      </w:r>
    </w:p>
    <w:p>
      <w:pPr>
        <w:pStyle w:val="111"/>
        <w:rPr>
          <w:rFonts w:hint="eastAsia" w:ascii="宋体" w:hAnsi="宋体" w:eastAsia="宋体" w:cs="宋体"/>
          <w:highlight w:val="none"/>
        </w:rPr>
      </w:pPr>
      <w:r>
        <w:rPr>
          <w:rFonts w:hint="eastAsia" w:ascii="宋体" w:hAnsi="宋体" w:eastAsia="宋体" w:cs="宋体"/>
          <w:highlight w:val="none"/>
        </w:rPr>
        <w:t>检查交、直流电源设备标识清晰，标识无脱落。</w:t>
      </w:r>
    </w:p>
    <w:p>
      <w:pPr>
        <w:pStyle w:val="176"/>
        <w:numPr>
          <w:ilvl w:val="0"/>
          <w:numId w:val="40"/>
        </w:numPr>
        <w:rPr>
          <w:rFonts w:hint="eastAsia" w:ascii="宋体" w:hAnsi="宋体" w:eastAsia="宋体" w:cs="宋体"/>
          <w:highlight w:val="none"/>
        </w:rPr>
      </w:pPr>
      <w:r>
        <w:rPr>
          <w:rFonts w:hint="eastAsia" w:ascii="宋体" w:hAnsi="宋体" w:eastAsia="宋体" w:cs="宋体"/>
          <w:highlight w:val="none"/>
        </w:rPr>
        <w:t>阀控蓄电池巡视要求</w:t>
      </w:r>
    </w:p>
    <w:p>
      <w:pPr>
        <w:pStyle w:val="111"/>
        <w:rPr>
          <w:rFonts w:hint="eastAsia" w:ascii="宋体" w:hAnsi="宋体" w:eastAsia="宋体" w:cs="宋体"/>
          <w:highlight w:val="none"/>
        </w:rPr>
      </w:pPr>
      <w:r>
        <w:rPr>
          <w:rFonts w:hint="eastAsia" w:ascii="宋体" w:hAnsi="宋体" w:eastAsia="宋体" w:cs="宋体"/>
          <w:highlight w:val="none"/>
        </w:rPr>
        <w:t>检查蓄电池组运行环境：蓄电池室通风、照明、消防设备完好，无易燃、易爆物品，环境温湿度是否合适。</w:t>
      </w:r>
    </w:p>
    <w:p>
      <w:pPr>
        <w:pStyle w:val="111"/>
        <w:rPr>
          <w:rFonts w:hint="eastAsia" w:ascii="宋体" w:hAnsi="宋体" w:eastAsia="宋体" w:cs="宋体"/>
          <w:highlight w:val="none"/>
        </w:rPr>
      </w:pPr>
      <w:r>
        <w:rPr>
          <w:rFonts w:hint="eastAsia" w:ascii="宋体" w:hAnsi="宋体" w:eastAsia="宋体" w:cs="宋体"/>
          <w:highlight w:val="none"/>
        </w:rPr>
        <w:t>检查蓄电池组的总电压、单体电压正常。</w:t>
      </w:r>
    </w:p>
    <w:p>
      <w:pPr>
        <w:pStyle w:val="111"/>
        <w:rPr>
          <w:rFonts w:hint="eastAsia" w:ascii="宋体" w:hAnsi="宋体" w:eastAsia="宋体" w:cs="宋体"/>
          <w:highlight w:val="none"/>
        </w:rPr>
      </w:pPr>
      <w:r>
        <w:rPr>
          <w:rFonts w:hint="eastAsia" w:ascii="宋体" w:hAnsi="宋体" w:eastAsia="宋体" w:cs="宋体"/>
          <w:highlight w:val="none"/>
        </w:rPr>
        <w:t>检查蓄电池外壳无变形、裂纹或泄漏，极柱与安全阀周围无酸雾逸出。</w:t>
      </w:r>
    </w:p>
    <w:p>
      <w:pPr>
        <w:pStyle w:val="111"/>
        <w:rPr>
          <w:rFonts w:hint="eastAsia" w:ascii="宋体" w:hAnsi="宋体" w:eastAsia="宋体" w:cs="宋体"/>
          <w:highlight w:val="none"/>
        </w:rPr>
      </w:pPr>
      <w:r>
        <w:rPr>
          <w:rFonts w:hint="eastAsia" w:ascii="宋体" w:hAnsi="宋体" w:eastAsia="宋体" w:cs="宋体"/>
          <w:highlight w:val="none"/>
        </w:rPr>
        <w:t>检查蓄电池柜、架是否可靠接地。</w:t>
      </w:r>
    </w:p>
    <w:p>
      <w:pPr>
        <w:pStyle w:val="111"/>
        <w:rPr>
          <w:rFonts w:hint="eastAsia" w:ascii="宋体" w:hAnsi="宋体" w:eastAsia="宋体" w:cs="宋体"/>
          <w:highlight w:val="none"/>
        </w:rPr>
      </w:pPr>
      <w:r>
        <w:rPr>
          <w:rFonts w:hint="eastAsia" w:ascii="宋体" w:hAnsi="宋体" w:eastAsia="宋体" w:cs="宋体"/>
          <w:highlight w:val="none"/>
        </w:rPr>
        <w:t>检查蓄电池组连接条连接牢靠，电缆标识清晰。</w:t>
      </w:r>
    </w:p>
    <w:p>
      <w:pPr>
        <w:pStyle w:val="111"/>
        <w:rPr>
          <w:rFonts w:hint="eastAsia" w:ascii="宋体" w:hAnsi="宋体" w:eastAsia="宋体" w:cs="宋体"/>
          <w:highlight w:val="none"/>
        </w:rPr>
      </w:pPr>
      <w:r>
        <w:rPr>
          <w:rFonts w:hint="eastAsia" w:ascii="宋体" w:hAnsi="宋体" w:eastAsia="宋体" w:cs="宋体"/>
          <w:highlight w:val="none"/>
        </w:rPr>
        <w:t>检查蓄电池编号及极性标志正确且清晰。</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电源定检</w:t>
      </w:r>
    </w:p>
    <w:p>
      <w:pPr>
        <w:pStyle w:val="176"/>
        <w:numPr>
          <w:ilvl w:val="0"/>
          <w:numId w:val="41"/>
        </w:numPr>
        <w:rPr>
          <w:rFonts w:hint="eastAsia" w:ascii="宋体" w:hAnsi="宋体" w:eastAsia="宋体" w:cs="宋体"/>
          <w:highlight w:val="none"/>
        </w:rPr>
      </w:pPr>
      <w:r>
        <w:rPr>
          <w:rFonts w:hint="eastAsia" w:ascii="宋体" w:hAnsi="宋体" w:eastAsia="宋体" w:cs="宋体"/>
          <w:highlight w:val="none"/>
        </w:rPr>
        <w:t>-48V高频开关电源定检要求</w:t>
      </w:r>
    </w:p>
    <w:p>
      <w:pPr>
        <w:pStyle w:val="111"/>
        <w:rPr>
          <w:rFonts w:hint="eastAsia" w:ascii="宋体" w:hAnsi="宋体" w:eastAsia="宋体" w:cs="宋体"/>
          <w:highlight w:val="none"/>
        </w:rPr>
      </w:pPr>
      <w:r>
        <w:rPr>
          <w:rFonts w:hint="eastAsia" w:ascii="宋体" w:hAnsi="宋体" w:eastAsia="宋体" w:cs="宋体"/>
          <w:highlight w:val="none"/>
        </w:rPr>
        <w:t>每季度进行一次充电装置交流输入切换试验，两路交流输入应能正常切换。</w:t>
      </w:r>
    </w:p>
    <w:p>
      <w:pPr>
        <w:pStyle w:val="111"/>
        <w:rPr>
          <w:rFonts w:hint="eastAsia" w:ascii="宋体" w:hAnsi="宋体" w:eastAsia="宋体" w:cs="宋体"/>
          <w:highlight w:val="none"/>
        </w:rPr>
      </w:pPr>
      <w:r>
        <w:rPr>
          <w:rFonts w:hint="eastAsia" w:ascii="宋体" w:hAnsi="宋体" w:eastAsia="宋体" w:cs="宋体"/>
          <w:highlight w:val="none"/>
        </w:rPr>
        <w:t>每年进行一次防雷器件下泄漏电流及残压测试。</w:t>
      </w:r>
    </w:p>
    <w:p>
      <w:pPr>
        <w:pStyle w:val="111"/>
        <w:rPr>
          <w:rFonts w:hint="eastAsia" w:ascii="宋体" w:hAnsi="宋体" w:eastAsia="宋体" w:cs="宋体"/>
          <w:highlight w:val="none"/>
        </w:rPr>
      </w:pPr>
      <w:r>
        <w:rPr>
          <w:rFonts w:hint="eastAsia" w:ascii="宋体" w:hAnsi="宋体" w:eastAsia="宋体" w:cs="宋体"/>
          <w:highlight w:val="none"/>
        </w:rPr>
        <w:t>每年测量一次高频开关电源屏的工作地和保护地接至机房环形接地铜排的连接电阻，高频开关电源屏与环形接地铜排的连接电阻值不应大于0.1W。</w:t>
      </w:r>
    </w:p>
    <w:p>
      <w:pPr>
        <w:pStyle w:val="176"/>
        <w:numPr>
          <w:ilvl w:val="0"/>
          <w:numId w:val="41"/>
        </w:numPr>
        <w:rPr>
          <w:rFonts w:hint="eastAsia" w:ascii="宋体" w:hAnsi="宋体" w:eastAsia="宋体" w:cs="宋体"/>
          <w:highlight w:val="none"/>
        </w:rPr>
      </w:pPr>
      <w:r>
        <w:rPr>
          <w:rFonts w:hint="eastAsia" w:ascii="宋体" w:hAnsi="宋体" w:eastAsia="宋体" w:cs="宋体"/>
          <w:highlight w:val="none"/>
        </w:rPr>
        <w:t>通信用UPS电源定检要求</w:t>
      </w:r>
    </w:p>
    <w:p>
      <w:pPr>
        <w:pStyle w:val="111"/>
        <w:rPr>
          <w:rFonts w:hint="eastAsia" w:ascii="宋体" w:hAnsi="宋体" w:eastAsia="宋体" w:cs="宋体"/>
          <w:highlight w:val="none"/>
        </w:rPr>
      </w:pPr>
      <w:r>
        <w:rPr>
          <w:rFonts w:hint="eastAsia" w:ascii="宋体" w:hAnsi="宋体" w:eastAsia="宋体" w:cs="宋体"/>
          <w:highlight w:val="none"/>
        </w:rPr>
        <w:t>每季度进行一次UPS主机交流输入切换试验，两路交流输入应能正常切换。</w:t>
      </w:r>
    </w:p>
    <w:p>
      <w:pPr>
        <w:pStyle w:val="111"/>
        <w:rPr>
          <w:rFonts w:hint="eastAsia" w:ascii="宋体" w:hAnsi="宋体" w:eastAsia="宋体" w:cs="宋体"/>
          <w:highlight w:val="none"/>
        </w:rPr>
      </w:pPr>
      <w:r>
        <w:rPr>
          <w:rFonts w:hint="eastAsia" w:ascii="宋体" w:hAnsi="宋体" w:eastAsia="宋体" w:cs="宋体"/>
          <w:highlight w:val="none"/>
        </w:rPr>
        <w:t>每年进行一次旁路切换试验，当退出交/直流电源时，UPS电源应自动切换至旁路电源供电，切换时间应与出厂验收指标一致。</w:t>
      </w:r>
    </w:p>
    <w:p>
      <w:pPr>
        <w:pStyle w:val="111"/>
        <w:rPr>
          <w:rFonts w:hint="eastAsia" w:ascii="宋体" w:hAnsi="宋体" w:eastAsia="宋体" w:cs="宋体"/>
          <w:highlight w:val="none"/>
        </w:rPr>
      </w:pPr>
      <w:r>
        <w:rPr>
          <w:rFonts w:hint="eastAsia" w:ascii="宋体" w:hAnsi="宋体" w:eastAsia="宋体" w:cs="宋体"/>
          <w:highlight w:val="none"/>
        </w:rPr>
        <w:t>每年测量一次UPS主机的保护地接至机房环形接地铜排的连接电阻，UPS与接地铜排之间的连接电阻值不应大于0.1W。</w:t>
      </w:r>
    </w:p>
    <w:p>
      <w:pPr>
        <w:pStyle w:val="176"/>
        <w:numPr>
          <w:ilvl w:val="0"/>
          <w:numId w:val="41"/>
        </w:numPr>
        <w:rPr>
          <w:rFonts w:hint="eastAsia" w:ascii="宋体" w:hAnsi="宋体" w:eastAsia="宋体" w:cs="宋体"/>
          <w:highlight w:val="none"/>
        </w:rPr>
      </w:pPr>
      <w:r>
        <w:rPr>
          <w:rFonts w:hint="eastAsia" w:ascii="宋体" w:hAnsi="宋体" w:eastAsia="宋体" w:cs="宋体"/>
          <w:highlight w:val="none"/>
        </w:rPr>
        <w:t>交、直流配电屏定检要求</w:t>
      </w:r>
    </w:p>
    <w:p>
      <w:pPr>
        <w:pStyle w:val="111"/>
        <w:rPr>
          <w:rFonts w:hint="eastAsia" w:ascii="宋体" w:hAnsi="宋体" w:eastAsia="宋体" w:cs="宋体"/>
          <w:highlight w:val="none"/>
        </w:rPr>
      </w:pPr>
      <w:r>
        <w:rPr>
          <w:rFonts w:hint="eastAsia" w:ascii="宋体" w:hAnsi="宋体" w:eastAsia="宋体" w:cs="宋体"/>
          <w:highlight w:val="none"/>
        </w:rPr>
        <w:t>在定期和专项安全检查时，应对交、直流电源负载分配图进行校核，重点核查直流断路器的负荷设备分布。</w:t>
      </w:r>
    </w:p>
    <w:p>
      <w:pPr>
        <w:pStyle w:val="111"/>
        <w:rPr>
          <w:rFonts w:hint="eastAsia" w:ascii="宋体" w:hAnsi="宋体" w:eastAsia="宋体" w:cs="宋体"/>
          <w:highlight w:val="none"/>
        </w:rPr>
      </w:pPr>
      <w:r>
        <w:rPr>
          <w:rFonts w:hint="eastAsia" w:ascii="宋体" w:hAnsi="宋体" w:eastAsia="宋体" w:cs="宋体"/>
          <w:highlight w:val="none"/>
        </w:rPr>
        <w:t>每年进行一次防雷器件下泄漏电流及残压测试。</w:t>
      </w:r>
    </w:p>
    <w:p>
      <w:pPr>
        <w:pStyle w:val="111"/>
        <w:rPr>
          <w:rFonts w:hint="eastAsia" w:ascii="宋体" w:hAnsi="宋体" w:eastAsia="宋体" w:cs="宋体"/>
          <w:highlight w:val="none"/>
        </w:rPr>
      </w:pPr>
      <w:r>
        <w:rPr>
          <w:rFonts w:hint="eastAsia" w:ascii="宋体" w:hAnsi="宋体" w:eastAsia="宋体" w:cs="宋体"/>
          <w:highlight w:val="none"/>
        </w:rPr>
        <w:t>每年测量一次交、直流配电屏的保护地接至机房环形接地铜排的连接电阻，配电屏与接地铜排之间的连接电阻值不应大于0.1W。</w:t>
      </w:r>
    </w:p>
    <w:p>
      <w:pPr>
        <w:pStyle w:val="176"/>
        <w:numPr>
          <w:ilvl w:val="0"/>
          <w:numId w:val="41"/>
        </w:numPr>
        <w:rPr>
          <w:rFonts w:hint="eastAsia" w:ascii="宋体" w:hAnsi="宋体" w:eastAsia="宋体" w:cs="宋体"/>
          <w:highlight w:val="none"/>
        </w:rPr>
      </w:pPr>
      <w:r>
        <w:rPr>
          <w:rFonts w:hint="eastAsia" w:ascii="宋体" w:hAnsi="宋体" w:eastAsia="宋体" w:cs="宋体"/>
          <w:highlight w:val="none"/>
        </w:rPr>
        <w:t>阀控蓄电池定检要求</w:t>
      </w:r>
    </w:p>
    <w:p>
      <w:pPr>
        <w:pStyle w:val="111"/>
        <w:rPr>
          <w:rFonts w:hint="eastAsia" w:ascii="宋体" w:hAnsi="宋体" w:eastAsia="宋体" w:cs="宋体"/>
          <w:highlight w:val="none"/>
        </w:rPr>
      </w:pPr>
      <w:r>
        <w:rPr>
          <w:rFonts w:hint="eastAsia" w:ascii="宋体" w:hAnsi="宋体" w:eastAsia="宋体" w:cs="宋体"/>
          <w:highlight w:val="none"/>
        </w:rPr>
        <w:t>每季度测量一次蓄电池组电压及单体蓄电池电压，并做好记录（精确到mV级）。</w:t>
      </w:r>
    </w:p>
    <w:p>
      <w:pPr>
        <w:pStyle w:val="111"/>
        <w:rPr>
          <w:rFonts w:hint="eastAsia" w:ascii="宋体" w:hAnsi="宋体" w:eastAsia="宋体" w:cs="宋体"/>
          <w:highlight w:val="none"/>
        </w:rPr>
      </w:pPr>
      <w:r>
        <w:rPr>
          <w:rFonts w:hint="eastAsia" w:ascii="宋体" w:hAnsi="宋体" w:eastAsia="宋体" w:cs="宋体"/>
          <w:highlight w:val="none"/>
        </w:rPr>
        <w:t>新安装的阀控蓄电池组，应进行全核对性试验，以后每隔2年进行一次核对性放电试验，运行年限超过4年的阀控蓄电池组，应每年进行一次核对性放电试验。</w:t>
      </w:r>
    </w:p>
    <w:p>
      <w:pPr>
        <w:pStyle w:val="111"/>
        <w:rPr>
          <w:rFonts w:hint="eastAsia" w:ascii="宋体" w:hAnsi="宋体" w:eastAsia="宋体" w:cs="宋体"/>
          <w:highlight w:val="none"/>
        </w:rPr>
      </w:pPr>
      <w:r>
        <w:rPr>
          <w:rFonts w:hint="eastAsia" w:ascii="宋体" w:hAnsi="宋体" w:eastAsia="宋体" w:cs="宋体"/>
          <w:highlight w:val="none"/>
        </w:rPr>
        <w:t>当通信站中仅配置一组蓄电池时，则蓄电池组不能退出运行、也不能作全核对性放电。只能用I10恒流放出额定容量的50%，在放电过程中，蓄电池组端电压不得低于-48V。放电后应立即用I10电流进行恒流限压充电→恒压充电→浮充电。若有备用蓄电池组作临时代用，该组阀控蓄电池可作全核对性放电。若经过3次全核对性放充电，蓄电池组容量均达不到额定容量的80%以上，可认为此组阀控蓄电池不合格，应安排更换。</w:t>
      </w:r>
    </w:p>
    <w:p>
      <w:pPr>
        <w:pStyle w:val="111"/>
        <w:rPr>
          <w:rFonts w:hint="eastAsia" w:ascii="宋体" w:hAnsi="宋体" w:eastAsia="宋体" w:cs="宋体"/>
          <w:highlight w:val="none"/>
        </w:rPr>
      </w:pPr>
      <w:r>
        <w:rPr>
          <w:rFonts w:hint="eastAsia" w:ascii="宋体" w:hAnsi="宋体" w:eastAsia="宋体" w:cs="宋体"/>
          <w:highlight w:val="none"/>
        </w:rPr>
        <w:t>当通信站中一个高频开关电源屏带有两组蓄电池时，可依次对两组蓄电池分别进行全核对性放电；当通信站中两个高频开关电源屏各接一组蓄电池时，在采取安全措施并确保本站重要负荷安全运行情况下，可依次对两组蓄电池分别进行全核对性放电。若经过3次全核对性放充电，蓄电池组容量均达不到额定容量的80%以上，可认为此组阀控蓄电池不合格，应安排更换。</w:t>
      </w:r>
    </w:p>
    <w:p>
      <w:pPr>
        <w:pStyle w:val="106"/>
        <w:spacing w:before="240" w:after="240"/>
        <w:rPr>
          <w:highlight w:val="none"/>
        </w:rPr>
      </w:pPr>
      <w:bookmarkStart w:id="63" w:name="_Toc27399"/>
      <w:r>
        <w:rPr>
          <w:rFonts w:hint="eastAsia"/>
          <w:highlight w:val="none"/>
          <w:lang w:val="en-US" w:eastAsia="zh-CN"/>
        </w:rPr>
        <w:t>检修管理</w:t>
      </w:r>
      <w:bookmarkEnd w:id="63"/>
    </w:p>
    <w:p>
      <w:pPr>
        <w:pStyle w:val="107"/>
        <w:spacing w:before="120" w:after="120"/>
        <w:rPr>
          <w:highlight w:val="none"/>
        </w:rPr>
      </w:pPr>
      <w:bookmarkStart w:id="64" w:name="_Toc27600"/>
      <w:r>
        <w:rPr>
          <w:rFonts w:hint="eastAsia"/>
          <w:highlight w:val="none"/>
          <w:lang w:val="en-US" w:eastAsia="zh-CN"/>
        </w:rPr>
        <w:t>基本要求</w:t>
      </w:r>
      <w:bookmarkEnd w:id="64"/>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检修工作实行检修票制度，应禁止无票操作。</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检修工作按照申请、审核、审批、开(竣)工、延期、终结等流程进行。</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检修工作应执行逐级上报、逐级审批的管理原则。</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影响电网生产调度业务运行的通信检修应经相关专业会签方可执行；影响通信业务的电网一次检修应经通信机构会签后方可执行。</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检修分为计划检修、非计划检修。计划检修包括年度计划检修和月度计划检修；非计划检修包括临时检修和紧急检修。</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检修工作的开工、竣工应经当值信息通信调度核准。</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涉及电网运行的通信计划检修宜与电网检修同步进行。</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不影响电网业务、能够在短时间内结束的通信检修工作，可不必退电网业务。</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检修工作应提前制定组织方案和技术措施，经审批后方可执行。</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各级通信机构应积极开展管辖范围内数据通信系统运行状态评价、风险评估，并以此为依据，制订、调整通信检修计划。</w:t>
      </w:r>
    </w:p>
    <w:p>
      <w:pPr>
        <w:pStyle w:val="107"/>
        <w:spacing w:before="120" w:after="120"/>
        <w:rPr>
          <w:highlight w:val="none"/>
        </w:rPr>
      </w:pPr>
      <w:bookmarkStart w:id="65" w:name="_Toc1016"/>
      <w:r>
        <w:rPr>
          <w:rFonts w:hint="eastAsia"/>
          <w:highlight w:val="none"/>
          <w:lang w:val="en-US" w:eastAsia="zh-CN"/>
        </w:rPr>
        <w:t>协调机制</w:t>
      </w:r>
      <w:bookmarkEnd w:id="65"/>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电网检修工作涉及通信设施或影响各级电网通信业务时，电网检修单位应在每月10日前与通信机构会商，由通信机构将相关通信检修工作纳入下一月度通信检修计划。</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通信检修涉及或影响电网调度生产类通信业务时，应至少提前5个工作日将通信检修票提交至电力调度控制中心相关专业会签。</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各级通信检修管理人员应密切跟踪电网检修、基建施工作业计划安排，结合本级通信网运行情况，合理安排通信同步检修作业。</w:t>
      </w:r>
    </w:p>
    <w:p>
      <w:pPr>
        <w:pStyle w:val="107"/>
        <w:spacing w:before="120" w:after="120"/>
        <w:rPr>
          <w:highlight w:val="none"/>
        </w:rPr>
      </w:pPr>
      <w:bookmarkStart w:id="66" w:name="_Toc23016"/>
      <w:r>
        <w:rPr>
          <w:rFonts w:hint="eastAsia"/>
          <w:highlight w:val="none"/>
          <w:lang w:val="en-US" w:eastAsia="zh-CN"/>
        </w:rPr>
        <w:t>计划检修</w:t>
      </w:r>
      <w:bookmarkEnd w:id="66"/>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各级通信</w:t>
      </w:r>
      <w:r>
        <w:rPr>
          <w:rFonts w:hint="eastAsia" w:ascii="宋体" w:hAnsi="宋体" w:eastAsia="宋体" w:cs="宋体"/>
          <w:highlight w:val="none"/>
          <w:lang w:eastAsia="zh-CN"/>
        </w:rPr>
        <w:t>运维</w:t>
      </w:r>
      <w:r>
        <w:rPr>
          <w:rFonts w:hint="eastAsia" w:ascii="宋体" w:hAnsi="宋体" w:eastAsia="宋体" w:cs="宋体"/>
          <w:highlight w:val="none"/>
        </w:rPr>
        <w:t>机构应编制年度、月度检修计划，并逐级上报、审批。</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重要保电期不宜安排通信计划检修。</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计划检修应按编制的年度、月度检修计划执行，且在执行前办理检修申请。</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凡涉及对运行中通信线路、设备等进行试验、测试、维护、修理、改造等作业，必须纳入通信检修计划，包括但不局限于：</w:t>
      </w:r>
    </w:p>
    <w:p>
      <w:pPr>
        <w:pStyle w:val="176"/>
        <w:numPr>
          <w:ilvl w:val="0"/>
          <w:numId w:val="42"/>
        </w:numPr>
        <w:rPr>
          <w:rFonts w:hint="eastAsia" w:ascii="宋体" w:hAnsi="宋体" w:eastAsia="宋体" w:cs="宋体"/>
          <w:highlight w:val="none"/>
        </w:rPr>
      </w:pPr>
      <w:r>
        <w:rPr>
          <w:rFonts w:hint="eastAsia" w:ascii="宋体" w:hAnsi="宋体" w:eastAsia="宋体" w:cs="宋体"/>
          <w:highlight w:val="none"/>
        </w:rPr>
        <w:t>需中断光缆的移位、改道、割接、消缺等光缆检修工作以及由此引起的光路迂回倒换等相关工作；不需中断光缆的移位、抬高、改道等光缆检修工作。</w:t>
      </w:r>
    </w:p>
    <w:p>
      <w:pPr>
        <w:pStyle w:val="176"/>
        <w:numPr>
          <w:ilvl w:val="0"/>
          <w:numId w:val="42"/>
        </w:numPr>
        <w:rPr>
          <w:rFonts w:hint="eastAsia" w:ascii="宋体" w:hAnsi="宋体" w:eastAsia="宋体" w:cs="宋体"/>
          <w:highlight w:val="none"/>
        </w:rPr>
      </w:pPr>
      <w:r>
        <w:rPr>
          <w:rFonts w:hint="eastAsia" w:ascii="宋体" w:hAnsi="宋体" w:eastAsia="宋体" w:cs="宋体"/>
          <w:highlight w:val="none"/>
        </w:rPr>
        <w:t>通信网络升级或拓扑调整，设备或关键板卡复位等工作</w:t>
      </w:r>
      <w:r>
        <w:rPr>
          <w:rFonts w:hint="eastAsia" w:ascii="宋体" w:hAnsi="宋体" w:eastAsia="宋体" w:cs="宋体"/>
          <w:highlight w:val="none"/>
          <w:lang w:eastAsia="zh-CN"/>
        </w:rPr>
        <w:t>。</w:t>
      </w:r>
    </w:p>
    <w:p>
      <w:pPr>
        <w:pStyle w:val="176"/>
        <w:numPr>
          <w:ilvl w:val="0"/>
          <w:numId w:val="42"/>
        </w:numPr>
        <w:rPr>
          <w:rFonts w:hint="eastAsia" w:ascii="宋体" w:hAnsi="宋体" w:eastAsia="宋体" w:cs="宋体"/>
          <w:highlight w:val="none"/>
        </w:rPr>
      </w:pPr>
      <w:r>
        <w:rPr>
          <w:rFonts w:hint="eastAsia" w:ascii="宋体" w:hAnsi="宋体" w:eastAsia="宋体" w:cs="宋体"/>
          <w:highlight w:val="none"/>
        </w:rPr>
        <w:t>通信设备机框、板卡、模块、风扇等进行新增、退出或更换工作（其中，新增机框指在运行设备上增加扩展机框</w:t>
      </w:r>
      <w:r>
        <w:rPr>
          <w:rFonts w:hint="eastAsia" w:ascii="宋体" w:hAnsi="宋体" w:eastAsia="宋体" w:cs="宋体"/>
          <w:highlight w:val="none"/>
          <w:lang w:eastAsia="zh-CN"/>
        </w:rPr>
        <w:t>。</w:t>
      </w:r>
    </w:p>
    <w:p>
      <w:pPr>
        <w:pStyle w:val="176"/>
        <w:numPr>
          <w:ilvl w:val="0"/>
          <w:numId w:val="42"/>
        </w:numPr>
        <w:rPr>
          <w:rFonts w:hint="eastAsia" w:ascii="宋体" w:hAnsi="宋体" w:eastAsia="宋体" w:cs="宋体"/>
          <w:highlight w:val="none"/>
        </w:rPr>
      </w:pPr>
      <w:r>
        <w:rPr>
          <w:rFonts w:hint="eastAsia" w:ascii="宋体" w:hAnsi="宋体" w:eastAsia="宋体" w:cs="宋体"/>
          <w:highlight w:val="none"/>
        </w:rPr>
        <w:t>引起业务或通信系统中断的配线系统（包括光配、数配、音配、网配、综配）工作</w:t>
      </w:r>
      <w:r>
        <w:rPr>
          <w:rFonts w:hint="eastAsia" w:ascii="宋体" w:hAnsi="宋体" w:eastAsia="宋体" w:cs="宋体"/>
          <w:highlight w:val="none"/>
          <w:lang w:eastAsia="zh-CN"/>
        </w:rPr>
        <w:t>。</w:t>
      </w:r>
    </w:p>
    <w:p>
      <w:pPr>
        <w:pStyle w:val="176"/>
        <w:numPr>
          <w:ilvl w:val="0"/>
          <w:numId w:val="42"/>
        </w:numPr>
        <w:rPr>
          <w:rFonts w:hint="eastAsia" w:ascii="宋体" w:hAnsi="宋体" w:eastAsia="宋体" w:cs="宋体"/>
          <w:highlight w:val="none"/>
        </w:rPr>
      </w:pPr>
      <w:r>
        <w:rPr>
          <w:rFonts w:hint="eastAsia" w:ascii="宋体" w:hAnsi="宋体" w:eastAsia="宋体" w:cs="宋体"/>
          <w:highlight w:val="none"/>
        </w:rPr>
        <w:t>电源类检修工作，包括蓄电池充放电试验，蓄电池、电源屏、整流模块、开关、通信UPS等新增或更换</w:t>
      </w:r>
      <w:r>
        <w:rPr>
          <w:rFonts w:hint="eastAsia" w:ascii="宋体" w:hAnsi="宋体" w:eastAsia="宋体" w:cs="宋体"/>
          <w:highlight w:val="none"/>
          <w:lang w:eastAsia="zh-CN"/>
        </w:rPr>
        <w:t>。</w:t>
      </w:r>
    </w:p>
    <w:p>
      <w:pPr>
        <w:pStyle w:val="176"/>
        <w:numPr>
          <w:ilvl w:val="0"/>
          <w:numId w:val="42"/>
        </w:numPr>
        <w:rPr>
          <w:rFonts w:hint="eastAsia" w:ascii="宋体" w:hAnsi="宋体" w:eastAsia="宋体" w:cs="宋体"/>
          <w:highlight w:val="none"/>
        </w:rPr>
      </w:pPr>
      <w:r>
        <w:rPr>
          <w:rFonts w:hint="eastAsia" w:ascii="宋体" w:hAnsi="宋体" w:eastAsia="宋体" w:cs="宋体"/>
          <w:highlight w:val="none"/>
        </w:rPr>
        <w:t>引起业务或通信系统中断的通信网管操作以及网管系统升级等工作</w:t>
      </w:r>
      <w:r>
        <w:rPr>
          <w:rFonts w:hint="eastAsia" w:ascii="宋体" w:hAnsi="宋体" w:eastAsia="宋体" w:cs="宋体"/>
          <w:highlight w:val="none"/>
          <w:lang w:eastAsia="zh-CN"/>
        </w:rPr>
        <w:t>。</w:t>
      </w:r>
    </w:p>
    <w:p>
      <w:pPr>
        <w:pStyle w:val="176"/>
        <w:numPr>
          <w:ilvl w:val="0"/>
          <w:numId w:val="42"/>
        </w:numPr>
        <w:rPr>
          <w:rFonts w:hint="eastAsia" w:ascii="宋体" w:hAnsi="宋体" w:eastAsia="宋体" w:cs="宋体"/>
          <w:highlight w:val="none"/>
        </w:rPr>
      </w:pPr>
      <w:r>
        <w:rPr>
          <w:rFonts w:hint="eastAsia" w:ascii="宋体" w:hAnsi="宋体" w:eastAsia="宋体" w:cs="宋体"/>
          <w:highlight w:val="none"/>
        </w:rPr>
        <w:t>设备带电清洗工作</w:t>
      </w:r>
      <w:r>
        <w:rPr>
          <w:rFonts w:hint="eastAsia" w:ascii="宋体" w:hAnsi="宋体" w:eastAsia="宋体" w:cs="宋体"/>
          <w:highlight w:val="none"/>
          <w:lang w:eastAsia="zh-CN"/>
        </w:rPr>
        <w:t>。</w:t>
      </w:r>
    </w:p>
    <w:p>
      <w:pPr>
        <w:pStyle w:val="176"/>
        <w:numPr>
          <w:ilvl w:val="0"/>
          <w:numId w:val="42"/>
        </w:numPr>
        <w:rPr>
          <w:rFonts w:hint="eastAsia" w:ascii="宋体" w:hAnsi="宋体" w:eastAsia="宋体" w:cs="宋体"/>
          <w:highlight w:val="none"/>
        </w:rPr>
      </w:pPr>
      <w:r>
        <w:rPr>
          <w:rFonts w:hint="eastAsia" w:ascii="宋体" w:hAnsi="宋体" w:eastAsia="宋体" w:cs="宋体"/>
          <w:highlight w:val="none"/>
        </w:rPr>
        <w:t>其他通信调度认定为通信检修的工作。</w:t>
      </w:r>
    </w:p>
    <w:p>
      <w:pPr>
        <w:pStyle w:val="107"/>
        <w:spacing w:before="120" w:after="120"/>
        <w:rPr>
          <w:highlight w:val="none"/>
        </w:rPr>
      </w:pPr>
      <w:bookmarkStart w:id="67" w:name="_Toc29457"/>
      <w:r>
        <w:rPr>
          <w:rFonts w:ascii="黑体" w:hAnsi="黑体" w:eastAsia="黑体" w:cs="Times New Roman"/>
          <w:b w:val="0"/>
          <w:kern w:val="44"/>
          <w:sz w:val="21"/>
          <w:highlight w:val="none"/>
          <w:lang w:val="en-US" w:eastAsia="zh-CN" w:bidi="ar-SA"/>
        </w:rPr>
        <w:t>非计划检修</w:t>
      </w:r>
      <w:bookmarkEnd w:id="67"/>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临时检修应在执行前办理检修申请手续，紧急检修可先向有关通信调度口头申请，当值信息通信调度员口头许可后方可执行，检修结束后应补齐相关手续。</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紧急检修应遵循先调度生产业务，后其他业务：先上级业务，后下级业务；先抢通，后修复的原则。</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当信息通信调度发现涉及其所辖范围电网业务、设备发生紧急故障或得到相关汇报后，应初步判断故障现象、影响范围，通知相关单位，立即组织抢修。涉及生产调度业务的故障应及时通知同级电网当值调度员和相关专业，并按照当值调度员的要求和故障处理预案组织抢修。</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紧急检修由检修施工单位通过电话方式向所属信息通信调度提出开工申请，在得到批准并办理完现场开工许可手续后方可进行。</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如紧急检修过程中需要配合，各级信息通信调度及相关单位应积极支持。</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故障排除、业务恢复后，检修施工单位通过电话方式向所属信息通信调度提出竣工申请，在得到批准并办理完现场竣工许可手续后方可离开。</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紧急抢修结束后，各检修单位应及时将故障原因、处理结果、恢复时间等情况汇报所属信息通信调度。信息通信调度应确认业务恢复情况并通知同级电网当值调度员和相关专业。</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检修施工单位、信息通信调度及通信机构应在紧急检修完成后48小时内提交故障分析报告，并逐级上报，在72小时内提交至设备或业务所属通信机构，对于影响电网调度业务的，故障分析报告应报电力调控中心。故障分析报告内容包括故障原因、抢修过程、处理结果、恢复时间和防范措施等。</w:t>
      </w:r>
    </w:p>
    <w:p>
      <w:pPr>
        <w:pStyle w:val="107"/>
        <w:spacing w:before="120" w:after="120"/>
        <w:rPr>
          <w:highlight w:val="none"/>
        </w:rPr>
      </w:pPr>
      <w:bookmarkStart w:id="68" w:name="_Toc13340"/>
      <w:r>
        <w:rPr>
          <w:rFonts w:ascii="黑体" w:hAnsi="黑体" w:eastAsia="黑体" w:cs="Times New Roman"/>
          <w:b w:val="0"/>
          <w:kern w:val="44"/>
          <w:sz w:val="21"/>
          <w:highlight w:val="none"/>
          <w:lang w:val="en-US" w:eastAsia="zh-CN" w:bidi="ar-SA"/>
        </w:rPr>
        <w:t>检修</w:t>
      </w:r>
      <w:r>
        <w:rPr>
          <w:rFonts w:hint="eastAsia" w:hAnsi="黑体" w:cs="Times New Roman"/>
          <w:b w:val="0"/>
          <w:kern w:val="44"/>
          <w:sz w:val="21"/>
          <w:highlight w:val="none"/>
          <w:lang w:val="en-US" w:eastAsia="zh-CN" w:bidi="ar-SA"/>
        </w:rPr>
        <w:t>票</w:t>
      </w:r>
      <w:bookmarkEnd w:id="68"/>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通信检修申请票是通信检修执行的依据，检修申请单位应及时办理通信检修申请票并得到批复后，方可执行（不具备通信管理系统线上申请的检修单位执行线下通信检修申请流程）。</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检修申请票应包含标题、发起单位、申请单位、检修类型、检修类别、检修票来源、申请开工时间、申请完工时间、检修工作原因等内容。</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光伏发电站通信设备检修申请由检修责任单位以检修票的方式提出，检修票内容应完整、准确，检修票应一事一报。</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计划检修、临时检修均应提前提出检修票申请。</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各检修责任单位、各级信息通信调度及通信主管部门应对检修内容、影响范围、安全措施等内容进行审核。</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在收到检修票申请后，应及时批复。</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检修应按照检修票批准的时间进行。</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如因故未能按时开、竣工，检修责任单位应以电话方式向所属信息通信调度提出延期申请，经逐级申报批准后，相关信息通信调度视情况予以批复。检修票只能延期一次。</w:t>
      </w:r>
    </w:p>
    <w:p>
      <w:pPr>
        <w:pStyle w:val="107"/>
        <w:spacing w:before="120" w:after="120"/>
        <w:rPr>
          <w:highlight w:val="none"/>
        </w:rPr>
      </w:pPr>
      <w:bookmarkStart w:id="69" w:name="_Toc29465"/>
      <w:r>
        <w:rPr>
          <w:rFonts w:hint="eastAsia" w:hAnsi="黑体" w:cs="Times New Roman"/>
          <w:b w:val="0"/>
          <w:kern w:val="44"/>
          <w:sz w:val="21"/>
          <w:highlight w:val="none"/>
          <w:lang w:val="en-US" w:eastAsia="zh-CN" w:bidi="ar-SA"/>
        </w:rPr>
        <w:t>操作票</w:t>
      </w:r>
      <w:bookmarkEnd w:id="69"/>
    </w:p>
    <w:p>
      <w:pPr>
        <w:pStyle w:val="58"/>
        <w:ind w:firstLine="420"/>
        <w:rPr>
          <w:rFonts w:hint="eastAsia" w:ascii="宋体" w:hAnsi="宋体" w:eastAsia="宋体" w:cs="宋体"/>
          <w:highlight w:val="none"/>
        </w:rPr>
      </w:pPr>
      <w:r>
        <w:rPr>
          <w:rFonts w:hint="eastAsia" w:ascii="宋体" w:hAnsi="宋体" w:eastAsia="宋体" w:cs="宋体"/>
          <w:highlight w:val="none"/>
        </w:rPr>
        <w:t>明确设备、光缆、电源操作执行操作票基本工作要求。</w:t>
      </w:r>
    </w:p>
    <w:p>
      <w:pPr>
        <w:pStyle w:val="107"/>
        <w:spacing w:before="120" w:after="120"/>
        <w:rPr>
          <w:highlight w:val="none"/>
        </w:rPr>
      </w:pPr>
      <w:bookmarkStart w:id="70" w:name="_Toc30904"/>
      <w:r>
        <w:rPr>
          <w:rFonts w:hint="eastAsia"/>
          <w:highlight w:val="none"/>
          <w:lang w:val="en-US" w:eastAsia="zh-CN"/>
        </w:rPr>
        <w:t>三措一案</w:t>
      </w:r>
      <w:bookmarkEnd w:id="70"/>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光伏发电站大型通信设备检修作业，应编制“三措一案”。具备下列情形之一即为大型作业，包括但不限于：</w:t>
      </w:r>
    </w:p>
    <w:p>
      <w:pPr>
        <w:pStyle w:val="176"/>
        <w:numPr>
          <w:ilvl w:val="0"/>
          <w:numId w:val="43"/>
        </w:numPr>
        <w:rPr>
          <w:rFonts w:hint="eastAsia" w:ascii="宋体" w:hAnsi="宋体" w:eastAsia="宋体" w:cs="宋体"/>
          <w:highlight w:val="none"/>
        </w:rPr>
      </w:pPr>
      <w:r>
        <w:rPr>
          <w:rFonts w:hint="eastAsia" w:ascii="宋体" w:hAnsi="宋体" w:eastAsia="宋体" w:cs="宋体"/>
          <w:highlight w:val="none"/>
        </w:rPr>
        <w:t>通信检修工作需输电线路陪停的</w:t>
      </w:r>
      <w:r>
        <w:rPr>
          <w:rFonts w:hint="eastAsia" w:ascii="宋体" w:hAnsi="宋体" w:eastAsia="宋体" w:cs="宋体"/>
          <w:highlight w:val="none"/>
          <w:lang w:eastAsia="zh-CN"/>
        </w:rPr>
        <w:t>。</w:t>
      </w:r>
    </w:p>
    <w:p>
      <w:pPr>
        <w:pStyle w:val="176"/>
        <w:numPr>
          <w:ilvl w:val="0"/>
          <w:numId w:val="43"/>
        </w:numPr>
        <w:rPr>
          <w:rFonts w:hint="eastAsia" w:ascii="宋体" w:hAnsi="宋体" w:eastAsia="宋体" w:cs="宋体"/>
          <w:highlight w:val="none"/>
        </w:rPr>
      </w:pPr>
      <w:r>
        <w:rPr>
          <w:rFonts w:hint="eastAsia" w:ascii="宋体" w:hAnsi="宋体" w:eastAsia="宋体" w:cs="宋体"/>
          <w:highlight w:val="none"/>
        </w:rPr>
        <w:t>通信检修工作影响线路继电保护、安稳控制和自动化等电网重要生产业务的</w:t>
      </w:r>
      <w:r>
        <w:rPr>
          <w:rFonts w:hint="eastAsia" w:ascii="宋体" w:hAnsi="宋体" w:eastAsia="宋体" w:cs="宋体"/>
          <w:highlight w:val="none"/>
          <w:lang w:eastAsia="zh-CN"/>
        </w:rPr>
        <w:t>。</w:t>
      </w:r>
    </w:p>
    <w:p>
      <w:pPr>
        <w:pStyle w:val="176"/>
        <w:numPr>
          <w:ilvl w:val="0"/>
          <w:numId w:val="43"/>
        </w:numPr>
        <w:rPr>
          <w:rFonts w:hint="eastAsia" w:ascii="宋体" w:hAnsi="宋体" w:eastAsia="宋体" w:cs="宋体"/>
          <w:highlight w:val="none"/>
        </w:rPr>
      </w:pPr>
      <w:r>
        <w:rPr>
          <w:rFonts w:hint="eastAsia" w:ascii="宋体" w:hAnsi="宋体" w:eastAsia="宋体" w:cs="宋体"/>
          <w:highlight w:val="none"/>
        </w:rPr>
        <w:t>通信检修工作导致光缆路径变动、长度有较大变化</w:t>
      </w:r>
      <w:r>
        <w:rPr>
          <w:rFonts w:hint="eastAsia" w:ascii="宋体" w:hAnsi="宋体" w:eastAsia="宋体" w:cs="宋体"/>
          <w:highlight w:val="none"/>
          <w:lang w:eastAsia="zh-CN"/>
        </w:rPr>
        <w:t>。</w:t>
      </w:r>
    </w:p>
    <w:p>
      <w:pPr>
        <w:pStyle w:val="176"/>
        <w:numPr>
          <w:ilvl w:val="0"/>
          <w:numId w:val="43"/>
        </w:numPr>
        <w:rPr>
          <w:rFonts w:hint="eastAsia" w:ascii="宋体" w:hAnsi="宋体" w:eastAsia="宋体" w:cs="宋体"/>
          <w:highlight w:val="none"/>
        </w:rPr>
      </w:pPr>
      <w:r>
        <w:rPr>
          <w:rFonts w:hint="eastAsia" w:ascii="宋体" w:hAnsi="宋体" w:eastAsia="宋体" w:cs="宋体"/>
          <w:highlight w:val="none"/>
        </w:rPr>
        <w:t>通信检修工作影响上级重要通信光路或业务，需要进行光路或业务迂回的</w:t>
      </w:r>
      <w:r>
        <w:rPr>
          <w:rFonts w:hint="eastAsia" w:ascii="宋体" w:hAnsi="宋体" w:eastAsia="宋体" w:cs="宋体"/>
          <w:highlight w:val="none"/>
          <w:lang w:eastAsia="zh-CN"/>
        </w:rPr>
        <w:t>。</w:t>
      </w:r>
    </w:p>
    <w:p>
      <w:pPr>
        <w:pStyle w:val="176"/>
        <w:numPr>
          <w:ilvl w:val="0"/>
          <w:numId w:val="43"/>
        </w:numPr>
        <w:rPr>
          <w:rFonts w:hint="eastAsia" w:ascii="宋体" w:hAnsi="宋体" w:eastAsia="宋体" w:cs="宋体"/>
          <w:highlight w:val="none"/>
        </w:rPr>
      </w:pPr>
      <w:r>
        <w:rPr>
          <w:rFonts w:hint="eastAsia" w:ascii="宋体" w:hAnsi="宋体" w:eastAsia="宋体" w:cs="宋体"/>
          <w:highlight w:val="none"/>
        </w:rPr>
        <w:t>各级中心站及承载骨干网业务的通信设备更换、软硬件升级</w:t>
      </w:r>
      <w:r>
        <w:rPr>
          <w:rFonts w:hint="eastAsia" w:ascii="宋体" w:hAnsi="宋体" w:eastAsia="宋体" w:cs="宋体"/>
          <w:highlight w:val="none"/>
          <w:lang w:eastAsia="zh-CN"/>
        </w:rPr>
        <w:t>。</w:t>
      </w:r>
    </w:p>
    <w:p>
      <w:pPr>
        <w:pStyle w:val="176"/>
        <w:numPr>
          <w:ilvl w:val="0"/>
          <w:numId w:val="43"/>
        </w:numPr>
        <w:rPr>
          <w:rFonts w:hint="eastAsia" w:ascii="宋体" w:hAnsi="宋体" w:eastAsia="宋体" w:cs="宋体"/>
          <w:highlight w:val="none"/>
        </w:rPr>
      </w:pPr>
      <w:r>
        <w:rPr>
          <w:rFonts w:hint="eastAsia" w:ascii="宋体" w:hAnsi="宋体" w:eastAsia="宋体" w:cs="宋体"/>
          <w:highlight w:val="none"/>
        </w:rPr>
        <w:t>各级中心站及承载骨干网业务的站点通信电源设备改造</w:t>
      </w:r>
      <w:r>
        <w:rPr>
          <w:rFonts w:hint="eastAsia" w:ascii="宋体" w:hAnsi="宋体" w:eastAsia="宋体" w:cs="宋体"/>
          <w:highlight w:val="none"/>
          <w:lang w:eastAsia="zh-CN"/>
        </w:rPr>
        <w:t>。</w:t>
      </w:r>
    </w:p>
    <w:p>
      <w:pPr>
        <w:pStyle w:val="176"/>
        <w:numPr>
          <w:ilvl w:val="0"/>
          <w:numId w:val="43"/>
        </w:numPr>
        <w:rPr>
          <w:rFonts w:hint="eastAsia" w:ascii="宋体" w:hAnsi="宋体" w:eastAsia="宋体" w:cs="宋体"/>
          <w:highlight w:val="none"/>
        </w:rPr>
      </w:pPr>
      <w:r>
        <w:rPr>
          <w:rFonts w:hint="eastAsia" w:ascii="宋体" w:hAnsi="宋体" w:eastAsia="宋体" w:cs="宋体"/>
          <w:highlight w:val="none"/>
        </w:rPr>
        <w:t>通信检修工作导致通信运行方式做大范围调整和改变。</w:t>
      </w:r>
    </w:p>
    <w:p>
      <w:pPr>
        <w:pStyle w:val="176"/>
        <w:numPr>
          <w:ilvl w:val="0"/>
          <w:numId w:val="43"/>
        </w:numPr>
        <w:rPr>
          <w:rFonts w:hint="eastAsia" w:ascii="宋体" w:hAnsi="宋体" w:eastAsia="宋体" w:cs="宋体"/>
          <w:highlight w:val="none"/>
        </w:rPr>
      </w:pPr>
      <w:r>
        <w:rPr>
          <w:rFonts w:hint="eastAsia" w:ascii="宋体" w:hAnsi="宋体" w:eastAsia="宋体" w:cs="宋体"/>
          <w:highlight w:val="none"/>
        </w:rPr>
        <w:t>通信检修工作可能导致网管监控中断的。</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检修提报单位负责按照通信检修相关管理要求编写“三措一案”，对填报材料内容正确性、格式规范性和文档完整性负责，对“三措一案”的可行性、合理性负责。</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组织措施应包括施工组织、施工人员及职责分工、其他事项等，施工组织关系应满足公司电力安全工作规程（电力通信部分）相关要求。</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安全措施应包括主要危险点、危险点控制措施、其他事项等。</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技术措施应包括相关技术标准、工序工艺标准要求、落实工序工艺标准的具体措施、验收内容及要求、其他注意事项。</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施工方案应包括准备工作、具体实施步骤等内容。根据实际情况，方案须包括但不限于以下内容：</w:t>
      </w:r>
    </w:p>
    <w:p>
      <w:pPr>
        <w:pStyle w:val="176"/>
        <w:numPr>
          <w:ilvl w:val="0"/>
          <w:numId w:val="44"/>
        </w:numPr>
        <w:rPr>
          <w:rFonts w:hint="eastAsia" w:ascii="宋体" w:hAnsi="宋体" w:eastAsia="宋体" w:cs="宋体"/>
          <w:highlight w:val="none"/>
        </w:rPr>
      </w:pPr>
      <w:r>
        <w:rPr>
          <w:rFonts w:hint="eastAsia" w:ascii="宋体" w:hAnsi="宋体" w:eastAsia="宋体" w:cs="宋体"/>
          <w:highlight w:val="none"/>
        </w:rPr>
        <w:t>蓄电池充放电试验检修工作，须核对蓄电池容量，并附电源接线图</w:t>
      </w:r>
      <w:r>
        <w:rPr>
          <w:rFonts w:hint="eastAsia" w:ascii="宋体" w:hAnsi="宋体" w:eastAsia="宋体" w:cs="宋体"/>
          <w:highlight w:val="none"/>
          <w:lang w:eastAsia="zh-CN"/>
        </w:rPr>
        <w:t>。</w:t>
      </w:r>
    </w:p>
    <w:p>
      <w:pPr>
        <w:pStyle w:val="176"/>
        <w:numPr>
          <w:ilvl w:val="0"/>
          <w:numId w:val="44"/>
        </w:numPr>
        <w:rPr>
          <w:rFonts w:hint="eastAsia" w:ascii="宋体" w:hAnsi="宋体" w:eastAsia="宋体" w:cs="宋体"/>
          <w:highlight w:val="none"/>
        </w:rPr>
      </w:pPr>
      <w:r>
        <w:rPr>
          <w:rFonts w:hint="eastAsia" w:ascii="宋体" w:hAnsi="宋体" w:eastAsia="宋体" w:cs="宋体"/>
          <w:highlight w:val="none"/>
        </w:rPr>
        <w:t>涉及电力线路ADSS光缆更换、迁改等检修工作，须由具有相应资质的设计院根据线路参数确定光缆挂点设计</w:t>
      </w:r>
      <w:r>
        <w:rPr>
          <w:rFonts w:hint="eastAsia" w:ascii="宋体" w:hAnsi="宋体" w:eastAsia="宋体" w:cs="宋体"/>
          <w:highlight w:val="none"/>
          <w:lang w:eastAsia="zh-CN"/>
        </w:rPr>
        <w:t>。</w:t>
      </w:r>
    </w:p>
    <w:p>
      <w:pPr>
        <w:pStyle w:val="176"/>
        <w:numPr>
          <w:ilvl w:val="0"/>
          <w:numId w:val="44"/>
        </w:numPr>
        <w:rPr>
          <w:rFonts w:hint="eastAsia" w:ascii="宋体" w:hAnsi="宋体" w:eastAsia="宋体" w:cs="宋体"/>
          <w:highlight w:val="none"/>
        </w:rPr>
      </w:pPr>
      <w:r>
        <w:rPr>
          <w:rFonts w:hint="eastAsia" w:ascii="宋体" w:hAnsi="宋体" w:eastAsia="宋体" w:cs="宋体"/>
          <w:highlight w:val="none"/>
        </w:rPr>
        <w:t>改变光传输系统拓扑结构、光缆类型、光缆长度的检修工作，须在三措一案中明确说明各项参数变化符合通信系统运行要求，并说明改造前后系统的拓扑结构变化情况。</w:t>
      </w:r>
    </w:p>
    <w:p>
      <w:pPr>
        <w:pStyle w:val="107"/>
        <w:spacing w:before="120" w:after="120"/>
        <w:rPr>
          <w:highlight w:val="none"/>
        </w:rPr>
      </w:pPr>
      <w:bookmarkStart w:id="71" w:name="_Toc1350"/>
      <w:r>
        <w:rPr>
          <w:rFonts w:hint="eastAsia"/>
          <w:highlight w:val="none"/>
          <w:lang w:val="en-US" w:eastAsia="zh-CN"/>
        </w:rPr>
        <w:t>标准化作业</w:t>
      </w:r>
      <w:bookmarkEnd w:id="71"/>
    </w:p>
    <w:p>
      <w:pPr>
        <w:pStyle w:val="67"/>
        <w:spacing w:before="120" w:after="120"/>
        <w:rPr>
          <w:rFonts w:hint="eastAsia" w:ascii="黑体" w:hAnsi="Times New Roman" w:eastAsia="黑体" w:cs="Times New Roman"/>
          <w:highlight w:val="none"/>
        </w:rPr>
      </w:pPr>
      <w:r>
        <w:rPr>
          <w:rFonts w:hint="eastAsia" w:ascii="黑体" w:hAnsi="Times New Roman" w:eastAsia="黑体" w:cs="Times New Roman"/>
          <w:highlight w:val="none"/>
        </w:rPr>
        <w:t>通信光缆检修标准化作业基本要求</w:t>
      </w:r>
    </w:p>
    <w:p>
      <w:pPr>
        <w:pStyle w:val="176"/>
        <w:numPr>
          <w:ilvl w:val="0"/>
          <w:numId w:val="45"/>
        </w:numPr>
        <w:rPr>
          <w:rFonts w:hint="eastAsia" w:ascii="宋体" w:hAnsi="宋体" w:eastAsia="宋体" w:cs="宋体"/>
          <w:highlight w:val="none"/>
        </w:rPr>
      </w:pPr>
      <w:r>
        <w:rPr>
          <w:rFonts w:hint="eastAsia" w:ascii="宋体" w:hAnsi="宋体" w:eastAsia="宋体" w:cs="宋体"/>
          <w:highlight w:val="none"/>
        </w:rPr>
        <w:t>作业准备</w:t>
      </w:r>
    </w:p>
    <w:p>
      <w:pPr>
        <w:pStyle w:val="111"/>
        <w:rPr>
          <w:rFonts w:hint="eastAsia" w:ascii="宋体" w:hAnsi="宋体" w:eastAsia="宋体" w:cs="宋体"/>
          <w:highlight w:val="none"/>
        </w:rPr>
      </w:pPr>
      <w:r>
        <w:rPr>
          <w:rFonts w:hint="eastAsia" w:ascii="宋体" w:hAnsi="宋体" w:eastAsia="宋体" w:cs="宋体"/>
          <w:highlight w:val="none"/>
        </w:rPr>
        <w:t>根据作业内容开展现场勘察（对承载三级以上通信业务、220千伏及以上保护、安稳业务的运行光缆进行中断施工的；光缆施工需要跨越高等级公路、铁路、重要输电通道等地段的；应进行现场勘查）。现场勘查主要包括但不限于核对光缆名称、编号、配线资料的真实性和一致性；确认光缆路由走向、敷设位置、近电距离、跨越措施、业务保障措施等满足业务运行要求</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需要进行业务迂回保障的应在检修开始前确认迂回路由已经安全可靠完成，能够保证迂回业务运行正常</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履行工作票许可手续，对同时使用变电站（线路）工作票和电力通信工作票开展的涉及通信光缆的现场检修作业，工作负责人需得到电网调度和通信调度的双许可，并确认工作票所列安全措施全部完成后方可开始工作</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根据检修作业的规模，编制“三措一案”或作业指导卡，并做好相关审批备案手续</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依据检修内容，安排足够的检修人员，检查确定工器具与仪器仪表完好，备品备件与施工材料齐全并与实际型号、规格一致，图纸及资料符合现场实际情况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组织工作班成员学习作业文本，确认作业成员掌握作业内容、作业地点、作业时间、进度要求、关键工序、质量标准、安全注意事项以及异常情况下的应急处置措施等。</w:t>
      </w:r>
    </w:p>
    <w:p>
      <w:pPr>
        <w:pStyle w:val="176"/>
        <w:numPr>
          <w:ilvl w:val="0"/>
          <w:numId w:val="45"/>
        </w:numPr>
        <w:rPr>
          <w:rFonts w:hint="eastAsia" w:ascii="宋体" w:hAnsi="宋体" w:eastAsia="宋体" w:cs="宋体"/>
          <w:highlight w:val="none"/>
        </w:rPr>
      </w:pPr>
      <w:r>
        <w:rPr>
          <w:rFonts w:hint="eastAsia" w:ascii="宋体" w:hAnsi="宋体" w:eastAsia="宋体" w:cs="宋体"/>
          <w:highlight w:val="none"/>
          <w:lang w:val="en-US" w:eastAsia="zh-CN"/>
        </w:rPr>
        <w:t>危险点分析及预控措施：</w:t>
      </w:r>
      <w:r>
        <w:rPr>
          <w:rFonts w:hint="eastAsia" w:ascii="宋体" w:hAnsi="宋体" w:eastAsia="宋体" w:cs="宋体"/>
          <w:highlight w:val="none"/>
        </w:rPr>
        <w:t>通信光缆检修的危险点分析和预控措施参见附录I的表1.1。</w:t>
      </w:r>
    </w:p>
    <w:p>
      <w:pPr>
        <w:pStyle w:val="176"/>
        <w:numPr>
          <w:ilvl w:val="0"/>
          <w:numId w:val="45"/>
        </w:numPr>
        <w:rPr>
          <w:rFonts w:hint="eastAsia" w:ascii="宋体" w:hAnsi="宋体" w:eastAsia="宋体" w:cs="宋体"/>
          <w:highlight w:val="none"/>
        </w:rPr>
      </w:pPr>
      <w:r>
        <w:rPr>
          <w:rFonts w:hint="eastAsia" w:ascii="宋体" w:hAnsi="宋体" w:eastAsia="宋体" w:cs="宋体"/>
          <w:highlight w:val="none"/>
          <w:lang w:val="en-US" w:eastAsia="zh-CN"/>
        </w:rPr>
        <w:t>安全施工及作业规范</w:t>
      </w:r>
    </w:p>
    <w:p>
      <w:pPr>
        <w:pStyle w:val="111"/>
        <w:rPr>
          <w:rFonts w:hint="eastAsia" w:ascii="宋体" w:hAnsi="宋体" w:eastAsia="宋体" w:cs="宋体"/>
          <w:highlight w:val="none"/>
        </w:rPr>
      </w:pPr>
      <w:r>
        <w:rPr>
          <w:rFonts w:hint="eastAsia" w:ascii="宋体" w:hAnsi="宋体" w:eastAsia="宋体" w:cs="宋体"/>
          <w:highlight w:val="none"/>
        </w:rPr>
        <w:t>现场安全管理要求如下：</w:t>
      </w:r>
    </w:p>
    <w:p>
      <w:pPr>
        <w:pStyle w:val="111"/>
        <w:keepNext w:val="0"/>
        <w:keepLines w:val="0"/>
        <w:pageBreakBefore w:val="0"/>
        <w:widowControl/>
        <w:numPr>
          <w:ilvl w:val="0"/>
          <w:numId w:val="46"/>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严格执行工作票制度，施工前进行现场安全交底，并签字确认</w:t>
      </w:r>
      <w:r>
        <w:rPr>
          <w:rFonts w:hint="eastAsia" w:ascii="宋体" w:hAnsi="宋体" w:eastAsia="宋体" w:cs="宋体"/>
          <w:highlight w:val="none"/>
          <w:lang w:eastAsia="zh-CN"/>
        </w:rPr>
        <w:t>。</w:t>
      </w:r>
    </w:p>
    <w:p>
      <w:pPr>
        <w:pStyle w:val="111"/>
        <w:keepNext w:val="0"/>
        <w:keepLines w:val="0"/>
        <w:pageBreakBefore w:val="0"/>
        <w:widowControl/>
        <w:numPr>
          <w:ilvl w:val="0"/>
          <w:numId w:val="46"/>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检修中落实现场安全措施，包括个人安全防护（安全帽、安全带）、装设隔离遮拦、验电、装设接地线等，对电力特种光缆的施工检修，应采取防感应电措施，并设专人监护（必要时还应增设多个监护人），高空作业转移位置时不得失去保护</w:t>
      </w:r>
      <w:r>
        <w:rPr>
          <w:rFonts w:hint="eastAsia" w:ascii="宋体" w:hAnsi="宋体" w:eastAsia="宋体" w:cs="宋体"/>
          <w:highlight w:val="none"/>
          <w:lang w:eastAsia="zh-CN"/>
        </w:rPr>
        <w:t>。</w:t>
      </w:r>
    </w:p>
    <w:p>
      <w:pPr>
        <w:pStyle w:val="111"/>
        <w:keepNext w:val="0"/>
        <w:keepLines w:val="0"/>
        <w:pageBreakBefore w:val="0"/>
        <w:widowControl/>
        <w:numPr>
          <w:ilvl w:val="0"/>
          <w:numId w:val="46"/>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正确核对所检修的光缆，防止误动其它在运行光缆</w:t>
      </w:r>
      <w:r>
        <w:rPr>
          <w:rFonts w:hint="eastAsia" w:ascii="宋体" w:hAnsi="宋体" w:eastAsia="宋体" w:cs="宋体"/>
          <w:highlight w:val="none"/>
          <w:lang w:eastAsia="zh-CN"/>
        </w:rPr>
        <w:t>。</w:t>
      </w:r>
    </w:p>
    <w:p>
      <w:pPr>
        <w:pStyle w:val="111"/>
        <w:keepNext w:val="0"/>
        <w:keepLines w:val="0"/>
        <w:pageBreakBefore w:val="0"/>
        <w:widowControl/>
        <w:numPr>
          <w:ilvl w:val="0"/>
          <w:numId w:val="46"/>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检修现场应设立安全围栏，悬挂警示标示，所有安全防护设施不准擅自挪动，施工工具、物料、更换下来的物料应放置在安全围栏内</w:t>
      </w:r>
      <w:r>
        <w:rPr>
          <w:rFonts w:hint="eastAsia" w:ascii="宋体" w:hAnsi="宋体" w:eastAsia="宋体" w:cs="宋体"/>
          <w:highlight w:val="none"/>
          <w:lang w:eastAsia="zh-CN"/>
        </w:rPr>
        <w:t>。</w:t>
      </w:r>
    </w:p>
    <w:p>
      <w:pPr>
        <w:pStyle w:val="111"/>
        <w:keepNext w:val="0"/>
        <w:keepLines w:val="0"/>
        <w:pageBreakBefore w:val="0"/>
        <w:widowControl/>
        <w:numPr>
          <w:ilvl w:val="0"/>
          <w:numId w:val="46"/>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工作间断、结束、变更时，照明、电动工具、仪器仪表等的电源应停电，光缆放线施工中两端未进行可靠固定前工作不得间断</w:t>
      </w:r>
      <w:r>
        <w:rPr>
          <w:rFonts w:hint="eastAsia" w:ascii="宋体" w:hAnsi="宋体" w:eastAsia="宋体" w:cs="宋体"/>
          <w:highlight w:val="none"/>
          <w:lang w:eastAsia="zh-CN"/>
        </w:rPr>
        <w:t>。</w:t>
      </w:r>
    </w:p>
    <w:p>
      <w:pPr>
        <w:pStyle w:val="111"/>
        <w:keepNext w:val="0"/>
        <w:keepLines w:val="0"/>
        <w:pageBreakBefore w:val="0"/>
        <w:widowControl/>
        <w:numPr>
          <w:ilvl w:val="0"/>
          <w:numId w:val="46"/>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大风、雷雨等恶劣天气时，应停止正在进行的现场作业，恢复现场或者做好现场安全防护措施</w:t>
      </w:r>
      <w:r>
        <w:rPr>
          <w:rFonts w:hint="eastAsia" w:ascii="宋体" w:hAnsi="宋体" w:eastAsia="宋体" w:cs="宋体"/>
          <w:highlight w:val="none"/>
          <w:lang w:eastAsia="zh-CN"/>
        </w:rPr>
        <w:t>。</w:t>
      </w:r>
    </w:p>
    <w:p>
      <w:pPr>
        <w:pStyle w:val="111"/>
        <w:keepNext w:val="0"/>
        <w:keepLines w:val="0"/>
        <w:pageBreakBefore w:val="0"/>
        <w:widowControl/>
        <w:numPr>
          <w:ilvl w:val="0"/>
          <w:numId w:val="46"/>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在电力管道或变电站内敷设光缆，不可蹬踏电力电缆，对带电设备要保持一定的安全距离，并设专责监护人，严格执行现场安全监护制度</w:t>
      </w:r>
      <w:r>
        <w:rPr>
          <w:rFonts w:hint="eastAsia" w:ascii="宋体" w:hAnsi="宋体" w:eastAsia="宋体" w:cs="宋体"/>
          <w:highlight w:val="none"/>
          <w:lang w:eastAsia="zh-CN"/>
        </w:rPr>
        <w:t>。</w:t>
      </w:r>
    </w:p>
    <w:p>
      <w:pPr>
        <w:pStyle w:val="111"/>
        <w:keepNext w:val="0"/>
        <w:keepLines w:val="0"/>
        <w:pageBreakBefore w:val="0"/>
        <w:widowControl/>
        <w:numPr>
          <w:ilvl w:val="0"/>
          <w:numId w:val="46"/>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根据施工风险各级管理人员应履行到位监督职能，到位监督计划应和工作做计划同步编制，到位监督情况应在工作票上进行记录</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lang w:val="en-US" w:eastAsia="zh-CN"/>
        </w:rPr>
        <w:t>作业规范</w:t>
      </w:r>
      <w:r>
        <w:rPr>
          <w:rFonts w:hint="eastAsia" w:ascii="宋体" w:hAnsi="宋体" w:eastAsia="宋体" w:cs="宋体"/>
          <w:highlight w:val="none"/>
        </w:rPr>
        <w:t>如下：</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光缆长度包括实际测量长度，还应加上布放时的自然弯曲和各种预留长度，各种预留包括插入孔内弯曲、杆上预留、接头两端预留、水平面弧度增加等其他特殊预留</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光缆施工时不允许过度弯曲，光缆转弯时弯曲半径应大于或等于光缆外径的10～15倍，并确保运行时其弯曲半径不应小于光缆外径20倍</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普通架空光缆吊线应良好接地，要有防雷、防电措施。架空吊线与电力线的水平与垂直距离要2m以上，离地面最小高度为5m，离房顶最小距离为1.5m</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为防止在牵引过程中牵引扭转损伤光缆，牵引端头和牵引索中间应加入转环、网套</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光缆有额定张力（拉力）限制，对于普通光缆，牵引力不应超过光缆允许张力的80%，瞬间最大牵引力不应超过光缆允许张力的100%，均匀用力，不应用力拉扯。牵引力应加在光缆的加强件（芯）上。对于电力特种光缆，牵引张力不应大于光缆的20%额定张力（拉力），最大不 超过25%额定张力（拉力）</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在光缆的转弯处或地形较复杂处应有专人负责，严禁车辆碾压。光缆不应打小圈及折、扭曲及扭绞等现象，不应损坏光缆保护层</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在管道内敷设光缆，为确保光缆安全，预留光缆应尽量盘留在通信管道的人（手）孔内，和一次电缆同沟的光缆，应和一次电缆有效隔离，在电缆井处应做好防火隔离</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进站光缆入地点应穿钢管保护，在电缆沟内应加装光缆保护套管防护</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光缆采用机械牵引时，应根据牵引长度、地形条件、牵引张力等因素选择集中牵引、中间辅助牵引和分散牵引等方式</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电力特种光缆展放的牵引场地一般选择在耐张杆塔两侧，应保证光缆进出口仰角小于30度，其水平偏角小于7度</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电力特种光缆放线时，应先启动张力机后再启动牵引机，每次牵引都要有现场指挥的通知，每基杆塔应设专人监视，应保证光缆不与地面跨越架及其他可能损伤光缆的障碍物相碰擦，张力放线牵引至接近尾线控制长度时应停止牵引</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电力特种光缆紧线时，应在无雷电、大风（风力小于五级）、雾、雪和雨的白天进行，确保各观测档的弧垂满足设计要求</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普通架空光缆接头盒加强芯不接地，不连通</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光缆接续一般在地面进行。光纤接头前应根据接头预留长度进行开剥，光缆开剥后在接头盒支架上的固定要牢固，不应损坏束管及纤芯</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光纤接续，应遵循的原则是：芯数相等时，相同束管内的对应色光纤对接，芯数不同时，按顺序先接芯数大的，再接芯数小的</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纤芯接续应按出厂色谱顺序或设计要求对应相接，不应有误，尤其是光缆多个分支接头时应按规定接续并作好记录</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用熔接机进行纤芯接续时，光纤熔接的全部过程宜采用OTDR监测，测出接头损耗，同时记录接头点到测试点纤芯距离，应确保光纤接续平均损耗达到设计文件的规定，保证光缆传输质量，并在光缆两端分别安排人员进行对测，确保纤芯熔接顺序正确</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光纤接续应连续作业，以确保接续质量。光缆接续全部完成后，多余光缆应盘在光缆接头盒的管架上，盘绕方向应一致。光缆盘绕弯曲半径应不大于厂家规定的曲率半径，接头部分应平直不受力，光纤盘留后，应用海绵等缓冲材料压住光纤形成保护层</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熔接后的纤芯应使用热缩管保护，光纤在余线盘固定及盘绕的曲率半径应大于37.5mm，避免对1.55µm波长产生附加衰减，盘绕后的纤芯用胶带稳妥固定在盘纤板内</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管道光缆接头盒宜挂在人孔壁上或置于电缆托板间，手孔内光缆接头盒应尽量放置在较高位置，避免雨季时人孔内积水浸泡</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rPr>
        <w:t>站内光缆成端后，应在ODF箱前面板粘贴配纤示意图</w:t>
      </w:r>
      <w:r>
        <w:rPr>
          <w:rFonts w:hint="eastAsia" w:ascii="宋体" w:hAnsi="宋体" w:eastAsia="宋体" w:cs="宋体"/>
          <w:highlight w:val="none"/>
          <w:lang w:eastAsia="zh-CN"/>
        </w:rPr>
        <w:t>。</w:t>
      </w:r>
    </w:p>
    <w:p>
      <w:pPr>
        <w:pStyle w:val="111"/>
        <w:keepNext w:val="0"/>
        <w:keepLines w:val="0"/>
        <w:pageBreakBefore w:val="0"/>
        <w:widowControl/>
        <w:numPr>
          <w:ilvl w:val="0"/>
          <w:numId w:val="47"/>
        </w:numPr>
        <w:kinsoku/>
        <w:wordWrap/>
        <w:overflowPunct/>
        <w:topLinePunct w:val="0"/>
        <w:autoSpaceDE/>
        <w:autoSpaceDN/>
        <w:bidi w:val="0"/>
        <w:adjustRightInd/>
        <w:snapToGrid/>
        <w:ind w:left="1134" w:leftChars="0" w:firstLine="0" w:firstLineChars="0"/>
        <w:textAlignment w:val="auto"/>
        <w:rPr>
          <w:rFonts w:hint="eastAsia" w:ascii="宋体" w:hAnsi="宋体" w:eastAsia="宋体" w:cs="宋体"/>
          <w:highlight w:val="none"/>
        </w:rPr>
      </w:pPr>
      <w:r>
        <w:rPr>
          <w:rFonts w:hint="eastAsia" w:ascii="宋体" w:hAnsi="宋体" w:eastAsia="宋体" w:cs="宋体"/>
          <w:highlight w:val="none"/>
        </w:rPr>
        <w:t>光纤连接器应具有良好的重复性和互换性。尾纤的长度应符合设计要求、外皮无损伤。尾纤各项参数应符合规程规定，连接器的损耗应符合规程规定。</w:t>
      </w:r>
    </w:p>
    <w:p>
      <w:pPr>
        <w:pStyle w:val="176"/>
        <w:numPr>
          <w:ilvl w:val="0"/>
          <w:numId w:val="45"/>
        </w:numPr>
        <w:rPr>
          <w:rFonts w:hint="eastAsia" w:ascii="宋体" w:hAnsi="宋体" w:eastAsia="宋体" w:cs="宋体"/>
          <w:highlight w:val="none"/>
        </w:rPr>
      </w:pPr>
      <w:r>
        <w:rPr>
          <w:rFonts w:hint="eastAsia" w:ascii="宋体" w:hAnsi="宋体" w:eastAsia="宋体" w:cs="宋体"/>
          <w:highlight w:val="none"/>
          <w:lang w:val="en-US" w:eastAsia="zh-CN"/>
        </w:rPr>
        <w:t>作业终结</w:t>
      </w:r>
    </w:p>
    <w:p>
      <w:pPr>
        <w:pStyle w:val="111"/>
        <w:rPr>
          <w:rFonts w:hint="eastAsia" w:ascii="宋体" w:hAnsi="宋体" w:eastAsia="宋体" w:cs="宋体"/>
          <w:highlight w:val="none"/>
        </w:rPr>
      </w:pPr>
      <w:r>
        <w:rPr>
          <w:rFonts w:hint="eastAsia" w:ascii="宋体" w:hAnsi="宋体" w:eastAsia="宋体" w:cs="宋体"/>
          <w:highlight w:val="none"/>
        </w:rPr>
        <w:t>确认工作票所列内容已全部完成，参数测试符合要求，所承载业务运行正常</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清理施工现场，清点工器具、回收材料、人员撤离施工现场</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完成现场检修、测试等记录</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办理工作票终结手续</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整理检修资料，修改运行资料，保证修改后的资料与实际运行状况一致。</w:t>
      </w:r>
    </w:p>
    <w:p>
      <w:pPr>
        <w:pStyle w:val="67"/>
        <w:spacing w:before="120" w:after="120"/>
        <w:rPr>
          <w:rFonts w:hint="eastAsia" w:ascii="黑体" w:hAnsi="Times New Roman" w:eastAsia="黑体" w:cs="Times New Roman"/>
          <w:highlight w:val="none"/>
        </w:rPr>
      </w:pPr>
      <w:r>
        <w:rPr>
          <w:rFonts w:hint="eastAsia" w:ascii="黑体" w:hAnsi="Times New Roman" w:eastAsia="黑体" w:cs="Times New Roman"/>
          <w:highlight w:val="none"/>
          <w:lang w:val="en-US" w:eastAsia="zh-CN"/>
        </w:rPr>
        <w:t>通信设备检修标准化作业基本要求</w:t>
      </w:r>
    </w:p>
    <w:p>
      <w:pPr>
        <w:pStyle w:val="176"/>
        <w:numPr>
          <w:ilvl w:val="0"/>
          <w:numId w:val="48"/>
        </w:numPr>
        <w:rPr>
          <w:rFonts w:hint="eastAsia" w:ascii="宋体" w:hAnsi="宋体" w:eastAsia="宋体" w:cs="宋体"/>
          <w:highlight w:val="none"/>
        </w:rPr>
      </w:pPr>
      <w:r>
        <w:rPr>
          <w:rFonts w:hint="eastAsia" w:ascii="宋体" w:hAnsi="宋体" w:eastAsia="宋体" w:cs="宋体"/>
          <w:highlight w:val="none"/>
          <w:lang w:val="en-US" w:eastAsia="zh-CN"/>
        </w:rPr>
        <w:t>作业准备</w:t>
      </w:r>
    </w:p>
    <w:p>
      <w:pPr>
        <w:pStyle w:val="111"/>
        <w:rPr>
          <w:rFonts w:hint="eastAsia" w:ascii="宋体" w:hAnsi="宋体" w:eastAsia="宋体" w:cs="宋体"/>
          <w:highlight w:val="none"/>
        </w:rPr>
      </w:pPr>
      <w:r>
        <w:rPr>
          <w:rFonts w:hint="eastAsia" w:ascii="宋体" w:hAnsi="宋体" w:eastAsia="宋体" w:cs="宋体"/>
          <w:highlight w:val="none"/>
        </w:rPr>
        <w:t>履行工作票许可手续，对同时使用变电站（线路）工作票和电力通信工作票开展的涉及通信设备的现场检修作业，工作负责人需得到电网调度和通信调度的双许可，并确认工作票所列安全措施全部完成后方可开始工作</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根据检修作业的规模，编制“三措一案”或作业指导卡，并做好相关审批备案手续</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依据检修内容，安排足够的检修人员，检查确定工器具与仪器仪表完好，备品备件与施工材料齐全并与实际型号、规格一致， 图纸及资料符合现场实际情况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组织工作班成员学习作业文本，确认作业成员掌握作业内容、作业地点、作业时间、进度要求、关键工序、质量标准、安全注意事项以及异常情况下的应急处置措施等</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现场作业人员应熟练掌握通信设备运行状况、基本参数、主要运行指标</w:t>
      </w:r>
      <w:r>
        <w:rPr>
          <w:rFonts w:hint="eastAsia" w:ascii="宋体" w:hAnsi="宋体" w:eastAsia="宋体" w:cs="宋体"/>
          <w:highlight w:val="none"/>
          <w:lang w:eastAsia="zh-CN"/>
        </w:rPr>
        <w:t>。</w:t>
      </w:r>
    </w:p>
    <w:p>
      <w:pPr>
        <w:pStyle w:val="176"/>
        <w:numPr>
          <w:ilvl w:val="0"/>
          <w:numId w:val="48"/>
        </w:numPr>
        <w:rPr>
          <w:rFonts w:hint="eastAsia" w:ascii="宋体" w:hAnsi="宋体" w:eastAsia="宋体" w:cs="宋体"/>
          <w:highlight w:val="none"/>
        </w:rPr>
      </w:pPr>
      <w:r>
        <w:rPr>
          <w:rFonts w:hint="eastAsia" w:ascii="宋体" w:hAnsi="宋体" w:eastAsia="宋体" w:cs="宋体"/>
          <w:highlight w:val="none"/>
          <w:lang w:val="en-US" w:eastAsia="zh-CN"/>
        </w:rPr>
        <w:t>危险点分析与预控措施</w:t>
      </w:r>
    </w:p>
    <w:p>
      <w:pPr>
        <w:pStyle w:val="111"/>
        <w:rPr>
          <w:rFonts w:hint="eastAsia" w:ascii="宋体" w:hAnsi="宋体" w:eastAsia="宋体" w:cs="宋体"/>
          <w:highlight w:val="none"/>
        </w:rPr>
      </w:pPr>
      <w:r>
        <w:rPr>
          <w:rFonts w:hint="eastAsia" w:ascii="宋体" w:hAnsi="宋体" w:eastAsia="宋体" w:cs="宋体"/>
          <w:highlight w:val="none"/>
        </w:rPr>
        <w:t>根据检修时通信网架结构，进行事故预想， 防止检修时故障扩大</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根据电网需要和通信系统现状，必要时实施业务转移。业务转移方案应写入“三措一案”</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通信设备检修的危险点分析与预控措施参见附录 I的表 I.2。</w:t>
      </w:r>
    </w:p>
    <w:p>
      <w:pPr>
        <w:pStyle w:val="176"/>
        <w:numPr>
          <w:ilvl w:val="0"/>
          <w:numId w:val="48"/>
        </w:numPr>
        <w:rPr>
          <w:rFonts w:hint="eastAsia" w:ascii="宋体" w:hAnsi="宋体" w:eastAsia="宋体" w:cs="宋体"/>
          <w:highlight w:val="none"/>
        </w:rPr>
      </w:pPr>
      <w:r>
        <w:rPr>
          <w:rFonts w:hint="eastAsia" w:ascii="宋体" w:hAnsi="宋体" w:eastAsia="宋体" w:cs="宋体"/>
          <w:highlight w:val="none"/>
          <w:lang w:val="en-US" w:eastAsia="zh-CN"/>
        </w:rPr>
        <w:t>安全施工及作业范围</w:t>
      </w:r>
    </w:p>
    <w:p>
      <w:pPr>
        <w:pStyle w:val="111"/>
        <w:rPr>
          <w:rFonts w:hint="eastAsia" w:ascii="宋体" w:hAnsi="宋体" w:eastAsia="宋体" w:cs="宋体"/>
          <w:highlight w:val="none"/>
        </w:rPr>
      </w:pPr>
      <w:r>
        <w:rPr>
          <w:rFonts w:hint="eastAsia" w:ascii="宋体" w:hAnsi="宋体" w:eastAsia="宋体" w:cs="宋体"/>
          <w:highlight w:val="none"/>
        </w:rPr>
        <w:t>应严格执行工作票安全措施，检修现场所有安全防护设施不准擅自挪动</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应正确履行工作票和检修开工许可手续，开工许可应由工作负责人在工作票备注栏中注明</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工作负责人应向每一位工作班成员进行安全交底，确认其知晓工作内容和安全注意事项，并签字</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图纸资料完备， 设备、缆线标识，核对正确</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检修工作间断、结束、变更时，照明、电动工具、仪器仪表等的电源应停电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作业区应离热源和可能产生火花的电器（如变压器、电源开关、熔断器） 1米以上；) 拆除的单板、设备附件不得随意放置，避免损坏和遗失</w:t>
      </w:r>
      <w:r>
        <w:rPr>
          <w:rFonts w:hint="eastAsia" w:ascii="宋体" w:hAnsi="宋体" w:eastAsia="宋体" w:cs="宋体"/>
          <w:highlight w:val="none"/>
          <w:lang w:eastAsia="zh-CN"/>
        </w:rPr>
        <w:t>。</w:t>
      </w:r>
    </w:p>
    <w:p>
      <w:pPr>
        <w:pStyle w:val="176"/>
        <w:numPr>
          <w:ilvl w:val="0"/>
          <w:numId w:val="48"/>
        </w:numPr>
        <w:rPr>
          <w:rFonts w:hint="eastAsia" w:ascii="宋体" w:hAnsi="宋体" w:eastAsia="宋体" w:cs="宋体"/>
          <w:highlight w:val="none"/>
        </w:rPr>
      </w:pPr>
      <w:r>
        <w:rPr>
          <w:rFonts w:hint="eastAsia" w:ascii="宋体" w:hAnsi="宋体" w:eastAsia="宋体" w:cs="宋体"/>
          <w:highlight w:val="none"/>
          <w:lang w:val="en-US" w:eastAsia="zh-CN"/>
        </w:rPr>
        <w:t>作业规范如下：</w:t>
      </w:r>
    </w:p>
    <w:p>
      <w:pPr>
        <w:pStyle w:val="111"/>
        <w:rPr>
          <w:rFonts w:hint="eastAsia" w:ascii="宋体" w:hAnsi="宋体" w:eastAsia="宋体" w:cs="宋体"/>
          <w:highlight w:val="none"/>
        </w:rPr>
      </w:pPr>
      <w:r>
        <w:rPr>
          <w:rFonts w:hint="eastAsia" w:ascii="宋体" w:hAnsi="宋体" w:eastAsia="宋体" w:cs="宋体"/>
          <w:highlight w:val="none"/>
        </w:rPr>
        <w:t>核对“三措一案”或作业指导卡内容与现场实际一致。如有重大安全隐患或风险，则停止本次检修作业，恢复原方式，重新审查“三措一案”或作业指导卡，重新安排检修计划</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设备断电的顺序，先子架断电，再风扇断电，最后关闭电源总开关（包括双电源自动切换开关）</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在进行电源线的安装、拆除操作之前，应关掉电源开关，确保拆、接线及桩头不带电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插拔光线路板时，应先拔掉光板上的光纤，再拔光板， 不要带纤插拔板件</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插拔单板应佩戴防静电手套或防静电手腕带，拔下的单板装入防静电屏蔽袋，正确操作</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更换故障单板，应仔细核对单板型号、拨码开关位置，使用不同型号单板代替时，需参考设备手册，确认可以代替后，方可更换</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单板插拔时，需正确导向，保证单板上的插头与背板上插座紧密吻合，禁止采用非正常手段插拔单板， 防止插针弯曲、插座损坏等事故的发生</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更换主控单板前，要提前先将设备数据全部上载并查看原设备主控板的拨码位置，并将新的主控板的拨码拨成一样，更换后再全部下载数据，确认主控板正常运行</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在对使用拉曼放大器的光传送段进行操作时，应注意在线路断开连接前关闭拉曼放大器的发光， 以避免输出光功率过高，损坏系统</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光接口测试时，小心操作尾纤及光连接器，勿折扭尾纤，保持光连接器清洁，勿近距离直视光口</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使用光功率计测试光放大器输出信号时，先确认光放大器的输出信号范围，在使用合适衰耗器降低测试信号，确认在光功率计测试范围内后，方可测试</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进行板盘保护倒换试验，倒换前应确认运行正常，倒换后应再次确认，如不正常应立即恢复原状态</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通道保护倒换试验前，应确认两个通道或者光方向都处于正常工作状态</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光接口板上未用的光口应用防尘帽盖住，避免灰尘进入光口，影响输出光功率或者接收灵敏度</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在对端未断开与在用光纤连接的单板前， 禁止使用 OTDR测试在用光纤</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对光传输系统进行操作时，应保证光接头（活动连接器）的清洁；应使用专用的器材，按正确的操作方法进行清洁操作</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设备的通电顺序，先机柜通电，再风扇通电，最后子架通电，观察各单板指示灯是否正常</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恢复运行时，设备内无任何遗留物，所有接线、开关、按键全部恢复至正常工作状态，确认相关业务正常。</w:t>
      </w:r>
    </w:p>
    <w:p>
      <w:pPr>
        <w:pStyle w:val="176"/>
        <w:numPr>
          <w:ilvl w:val="0"/>
          <w:numId w:val="48"/>
        </w:numPr>
        <w:rPr>
          <w:rFonts w:hint="eastAsia" w:ascii="宋体" w:hAnsi="宋体" w:eastAsia="宋体" w:cs="宋体"/>
          <w:highlight w:val="none"/>
        </w:rPr>
      </w:pPr>
      <w:r>
        <w:rPr>
          <w:rFonts w:hint="eastAsia" w:ascii="宋体" w:hAnsi="宋体" w:eastAsia="宋体" w:cs="宋体"/>
          <w:highlight w:val="none"/>
          <w:lang w:val="en-US" w:eastAsia="zh-CN"/>
        </w:rPr>
        <w:t>作业终结</w:t>
      </w:r>
    </w:p>
    <w:p>
      <w:pPr>
        <w:pStyle w:val="111"/>
        <w:rPr>
          <w:rFonts w:hint="eastAsia" w:ascii="宋体" w:hAnsi="宋体" w:eastAsia="宋体" w:cs="宋体"/>
          <w:highlight w:val="none"/>
        </w:rPr>
      </w:pPr>
      <w:r>
        <w:rPr>
          <w:rFonts w:hint="eastAsia" w:ascii="宋体" w:hAnsi="宋体" w:eastAsia="宋体" w:cs="宋体"/>
          <w:highlight w:val="none"/>
        </w:rPr>
        <w:t>检修结束后，逐一核实设备和业务恢复正常，确认原有故障或缺陷得以消除</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清理施工现场，清点工器具、回收材料</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做好现场检修、测试等记录</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向当值通信调度或运行人员申请检修竣工，得到当值通信调度或运行人员正式竣工令后，方可终结检修工作</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办理工作票终结手续</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整理检修资料，修改通信管理系统运行资料，保证资料与实际运行状况一致。</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通信电源检修标准化作业基本要求</w:t>
      </w:r>
    </w:p>
    <w:p>
      <w:pPr>
        <w:pStyle w:val="176"/>
        <w:numPr>
          <w:ilvl w:val="0"/>
          <w:numId w:val="49"/>
        </w:numPr>
        <w:rPr>
          <w:rFonts w:hint="eastAsia" w:ascii="宋体" w:hAnsi="宋体" w:eastAsia="宋体" w:cs="宋体"/>
          <w:highlight w:val="none"/>
        </w:rPr>
      </w:pPr>
      <w:r>
        <w:rPr>
          <w:rFonts w:hint="eastAsia" w:ascii="宋体" w:hAnsi="宋体" w:eastAsia="宋体" w:cs="宋体"/>
          <w:highlight w:val="none"/>
          <w:lang w:val="en-US" w:eastAsia="zh-CN"/>
        </w:rPr>
        <w:t>作业准备</w:t>
      </w:r>
    </w:p>
    <w:p>
      <w:pPr>
        <w:pStyle w:val="111"/>
        <w:rPr>
          <w:rFonts w:hint="eastAsia" w:ascii="宋体" w:hAnsi="宋体" w:eastAsia="宋体" w:cs="宋体"/>
          <w:highlight w:val="none"/>
        </w:rPr>
      </w:pPr>
      <w:r>
        <w:rPr>
          <w:rFonts w:hint="eastAsia" w:ascii="宋体" w:hAnsi="宋体" w:eastAsia="宋体" w:cs="宋体"/>
          <w:highlight w:val="none"/>
        </w:rPr>
        <w:t>履行工作票许可手续，对同时使用变电站（线路）工作票和电力通信工作票开展的涉及通信电源的现场检修作业，工作负责人需得到电网调度和通信调度的双许可，并确认工作票所列安全措施全部完成后方可开始工作</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根据检修作业的规模，编制“三措一案”或作业指导卡，并做好相关审批备案手续</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依据检修内容，安排足够的检修人员，检查确定工器具与仪器仪表完好，备品备件与施工材料齐全并与实际型号、规格一致， 图纸及资料符合现场实际情况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组织工作班成员学习作业文本，确认作业成员掌握作业内容、作业地点、作业时间、进度要求、关键工序、质量标准、安全注意事项以及异常情况下的应急处置措施等</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现场作业人员应熟练掌握通信电源运行状况、基本参数、主要运行指标</w:t>
      </w:r>
      <w:r>
        <w:rPr>
          <w:rFonts w:hint="eastAsia" w:ascii="宋体" w:hAnsi="宋体" w:eastAsia="宋体" w:cs="宋体"/>
          <w:highlight w:val="none"/>
          <w:lang w:eastAsia="zh-CN"/>
        </w:rPr>
        <w:t>。</w:t>
      </w:r>
    </w:p>
    <w:p>
      <w:pPr>
        <w:pStyle w:val="176"/>
        <w:numPr>
          <w:ilvl w:val="0"/>
          <w:numId w:val="49"/>
        </w:numPr>
        <w:rPr>
          <w:rFonts w:hint="eastAsia" w:ascii="宋体" w:hAnsi="宋体" w:eastAsia="宋体" w:cs="宋体"/>
          <w:highlight w:val="none"/>
        </w:rPr>
      </w:pPr>
      <w:r>
        <w:rPr>
          <w:rFonts w:hint="eastAsia" w:ascii="宋体" w:hAnsi="宋体" w:eastAsia="宋体" w:cs="宋体"/>
          <w:highlight w:val="none"/>
          <w:lang w:val="en-US" w:eastAsia="zh-CN"/>
        </w:rPr>
        <w:t>危险点分析与预控措施：</w:t>
      </w:r>
      <w:r>
        <w:rPr>
          <w:rFonts w:hint="eastAsia" w:ascii="宋体" w:hAnsi="宋体" w:eastAsia="宋体" w:cs="宋体"/>
          <w:highlight w:val="none"/>
        </w:rPr>
        <w:t>通信电源检修的危险点分析与预控措施参见附录I的表I.3。</w:t>
      </w:r>
    </w:p>
    <w:p>
      <w:pPr>
        <w:pStyle w:val="176"/>
        <w:numPr>
          <w:ilvl w:val="0"/>
          <w:numId w:val="49"/>
        </w:numPr>
        <w:rPr>
          <w:rFonts w:hint="eastAsia" w:ascii="宋体" w:hAnsi="宋体" w:eastAsia="宋体" w:cs="宋体"/>
          <w:highlight w:val="none"/>
        </w:rPr>
      </w:pPr>
      <w:r>
        <w:rPr>
          <w:rFonts w:hint="eastAsia" w:ascii="宋体" w:hAnsi="宋体" w:eastAsia="宋体" w:cs="宋体"/>
          <w:highlight w:val="none"/>
          <w:lang w:val="en-US" w:eastAsia="zh-CN"/>
        </w:rPr>
        <w:t>安全施工及作业规范</w:t>
      </w:r>
    </w:p>
    <w:p>
      <w:pPr>
        <w:pStyle w:val="111"/>
        <w:rPr>
          <w:rFonts w:hint="eastAsia" w:ascii="宋体" w:hAnsi="宋体" w:eastAsia="宋体" w:cs="宋体"/>
          <w:highlight w:val="none"/>
        </w:rPr>
      </w:pPr>
      <w:r>
        <w:rPr>
          <w:rFonts w:hint="eastAsia" w:ascii="宋体" w:hAnsi="宋体" w:eastAsia="宋体" w:cs="宋体"/>
          <w:highlight w:val="none"/>
        </w:rPr>
        <w:t>现场作业许可手续完备，得到全部许可后方可开工</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现场安全措施应满足现场检修需求</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现场所有安全防护设施不应擅自挪动</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安全交底、注意事项已交待完毕并签字确认</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现场图纸资料完备， 设备、线缆标识核对正确</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现场检修所需材料齐全，满足检修需要</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临时接入电源的照明、工器具、仪器仪表停用时应及时断开电源</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拆除的设备模块、板件、附件要整齐的摆放在遮栏内的固定位置，并采取防护措施，避免损坏和遗失</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作业期间，工作监护人应全程监护</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工作间断、结束、变更时，照明、电动工具、仪器仪表等的电源应停电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工作结束应做到工完、料尽、场地清。</w:t>
      </w:r>
    </w:p>
    <w:p>
      <w:pPr>
        <w:pStyle w:val="111"/>
        <w:rPr>
          <w:rFonts w:hint="eastAsia" w:ascii="宋体" w:hAnsi="宋体" w:eastAsia="宋体" w:cs="宋体"/>
          <w:highlight w:val="none"/>
        </w:rPr>
      </w:pPr>
      <w:r>
        <w:rPr>
          <w:rFonts w:hint="eastAsia" w:ascii="宋体" w:hAnsi="宋体" w:eastAsia="宋体" w:cs="宋体"/>
          <w:highlight w:val="none"/>
        </w:rPr>
        <w:t>作业前，应核对电源系统图纸、标识与实际系统运行状态保持一致</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作业前，应测量使用电源的电压，保证电源电压符合用电要求，严禁使用未知，未测量电源</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使用扳手紧固螺丝时开口要适当，把手上应有绝缘措施， 防止滑脱伤人或触及带电部位</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接线正确无误，并保证接线牢固、接线端子完好， 必要时对接线端子进行测温</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电源开关操作前后应验电，设备通电前，应验证供电线缆极性和输入电压，并有专人监护</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现场作业时严禁将手，脚，头部以及其他可导电物体伸入设备内部引起电源事故和危及人身安全，需要人手进入设备内部操作的，人体应有绝缘防护措施，接触或接近通信电源的金属工具除接触面外，裸露的金属应全部缠绕胶带绝缘，在电源柜体内使用工具操作时，应均匀用力，小心操作</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更换电源模块时应关闭分路开关，不得带电插拔</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对开关电源参数设置应严格按照设备说明书进行操作，未经批准不得修改运行中电源设备运行参数</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对不间断电源（UPS）进行检修时应严格按照通信用不间断电源（UPS）规范进行操作</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双路交流输入切换试验前，应验证两路交流输入、蓄电池组和连接蓄电池组的直流接触器正常工作，并做好试验过程监视</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站内所用电检修等影响站内通信电源运行的作业应提前告知通信部门</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拆、装蓄电池时，应先断开蓄电池与开关电源设备的熔断器或开关</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直流开关或熔断器未断开前，不得断开蓄电池之间的连接</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拆、接电缆时，应做好缆线标识，并标出“正、负”极性，连接的电源线同一极性颜色应统一，不同极性颜色应区分，使用工具过程中注意不要造成接线柱之间的短路</w:t>
      </w:r>
    </w:p>
    <w:p>
      <w:pPr>
        <w:pStyle w:val="111"/>
        <w:rPr>
          <w:rFonts w:hint="eastAsia" w:ascii="宋体" w:hAnsi="宋体" w:eastAsia="宋体" w:cs="宋体"/>
          <w:highlight w:val="none"/>
        </w:rPr>
      </w:pPr>
      <w:r>
        <w:rPr>
          <w:rFonts w:hint="eastAsia" w:ascii="宋体" w:hAnsi="宋体" w:eastAsia="宋体" w:cs="宋体"/>
          <w:highlight w:val="none"/>
        </w:rPr>
        <w:t>对拆除后的电缆头应进行绝缘处理， 以防止相间短路和单相接地，并保持电缆头的清洁</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蓄电池放电过程中，作业人员不得离开现场；放电后，应立即对蓄电池进行充电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蓄电池组接入电源时，应检查电池极性， 并确认蓄电池组电压与整流器输出电压匹配</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清洁蓄电池时，不得使用有机溶剂和化纤类织物，如果发生化学物体溢出，应迅速清理现场，加强通风。</w:t>
      </w:r>
    </w:p>
    <w:p>
      <w:pPr>
        <w:pStyle w:val="176"/>
        <w:numPr>
          <w:ilvl w:val="0"/>
          <w:numId w:val="49"/>
        </w:numPr>
        <w:rPr>
          <w:rFonts w:hint="eastAsia" w:ascii="宋体" w:hAnsi="宋体" w:eastAsia="宋体" w:cs="宋体"/>
          <w:highlight w:val="none"/>
        </w:rPr>
      </w:pPr>
      <w:r>
        <w:rPr>
          <w:rFonts w:hint="eastAsia" w:ascii="宋体" w:hAnsi="宋体" w:eastAsia="宋体" w:cs="宋体"/>
          <w:highlight w:val="none"/>
          <w:lang w:val="en-US" w:eastAsia="zh-CN"/>
        </w:rPr>
        <w:t>作业终结</w:t>
      </w:r>
    </w:p>
    <w:p>
      <w:pPr>
        <w:pStyle w:val="111"/>
        <w:rPr>
          <w:rFonts w:hint="eastAsia" w:ascii="宋体" w:hAnsi="宋体" w:eastAsia="宋体" w:cs="宋体"/>
          <w:highlight w:val="none"/>
        </w:rPr>
      </w:pPr>
      <w:r>
        <w:rPr>
          <w:rFonts w:hint="eastAsia" w:ascii="宋体" w:hAnsi="宋体" w:eastAsia="宋体" w:cs="宋体"/>
          <w:highlight w:val="none"/>
        </w:rPr>
        <w:t>检修作业结束，通信系统运行正常</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完整填写通信电源检修记录，验收工程施工工艺，标签标识清晰、准确、无遗漏，设备封堵严密</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清理施工现场，清点工器具、回收材料</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办理工作终结手续</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整理检修资料，修改运行资料，保证资料与实际运行状况一致。</w:t>
      </w:r>
    </w:p>
    <w:p>
      <w:pPr>
        <w:pStyle w:val="107"/>
        <w:spacing w:before="120" w:after="120"/>
        <w:rPr>
          <w:highlight w:val="none"/>
        </w:rPr>
      </w:pPr>
      <w:bookmarkStart w:id="72" w:name="_Toc6094"/>
      <w:r>
        <w:rPr>
          <w:rFonts w:hint="eastAsia"/>
          <w:highlight w:val="none"/>
          <w:lang w:val="en-US" w:eastAsia="zh-CN"/>
        </w:rPr>
        <w:t>风险预警</w:t>
      </w:r>
      <w:bookmarkEnd w:id="72"/>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预警条件</w:t>
      </w:r>
    </w:p>
    <w:p>
      <w:pPr>
        <w:pStyle w:val="176"/>
        <w:numPr>
          <w:ilvl w:val="0"/>
          <w:numId w:val="50"/>
        </w:numPr>
        <w:rPr>
          <w:rFonts w:hint="eastAsia" w:ascii="宋体" w:hAnsi="宋体" w:eastAsia="宋体" w:cs="宋体"/>
          <w:highlight w:val="none"/>
        </w:rPr>
      </w:pPr>
      <w:r>
        <w:rPr>
          <w:rFonts w:hint="eastAsia" w:ascii="宋体" w:hAnsi="宋体" w:eastAsia="宋体" w:cs="宋体"/>
          <w:highlight w:val="none"/>
        </w:rPr>
        <w:t>通信系统运行风险预警发布条件包括但不限于以下情况：</w:t>
      </w:r>
    </w:p>
    <w:p>
      <w:pPr>
        <w:pStyle w:val="111"/>
        <w:rPr>
          <w:rFonts w:hint="eastAsia" w:ascii="宋体" w:hAnsi="宋体" w:eastAsia="宋体" w:cs="宋体"/>
          <w:highlight w:val="none"/>
        </w:rPr>
      </w:pPr>
      <w:r>
        <w:rPr>
          <w:rFonts w:hint="eastAsia" w:ascii="宋体" w:hAnsi="宋体" w:eastAsia="宋体" w:cs="宋体"/>
          <w:highlight w:val="none"/>
        </w:rPr>
        <w:t>通信检修期间发生 N-1故障，可能发生八级以上电网事件或七级及以上设备事件的情况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通信设备、光缆、电源、空调故障可能发生八级以上电网事件或七级及以上设备事件的情况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通信设备操作、异常等可能造成跨区重要输电通道保护、安控装置退出运行或调度自动化信息中断风险的情况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遇有极端气候、自然灾害情况，对电网或通信系统的正常运行带来较大威胁的情况</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其他可能造成以上电网或设备事件、或重大影响的情况。</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工作要求</w:t>
      </w:r>
    </w:p>
    <w:p>
      <w:pPr>
        <w:pStyle w:val="176"/>
        <w:numPr>
          <w:ilvl w:val="0"/>
          <w:numId w:val="51"/>
        </w:numPr>
        <w:rPr>
          <w:rFonts w:hint="eastAsia" w:ascii="宋体" w:hAnsi="宋体" w:eastAsia="宋体" w:cs="宋体"/>
          <w:highlight w:val="none"/>
        </w:rPr>
      </w:pPr>
      <w:r>
        <w:rPr>
          <w:rFonts w:hint="eastAsia" w:ascii="宋体" w:hAnsi="宋体" w:eastAsia="宋体" w:cs="宋体"/>
          <w:highlight w:val="none"/>
        </w:rPr>
        <w:t>通信系统运行风险预警管控重点抓好风险辨识和管控措施“两个环节”，满足“全面性、准确性、及时性、可靠性”要求。</w:t>
      </w:r>
    </w:p>
    <w:p>
      <w:pPr>
        <w:pStyle w:val="111"/>
        <w:rPr>
          <w:rFonts w:hint="eastAsia" w:ascii="宋体" w:hAnsi="宋体" w:eastAsia="宋体" w:cs="宋体"/>
          <w:highlight w:val="none"/>
        </w:rPr>
      </w:pPr>
      <w:r>
        <w:rPr>
          <w:rFonts w:hint="eastAsia" w:ascii="宋体" w:hAnsi="宋体" w:eastAsia="宋体" w:cs="宋体"/>
          <w:highlight w:val="none"/>
        </w:rPr>
        <w:t>全面性。实时、全面评估各级通信系统运行方式、运行状况、运行环境及其他可能对通信系统运行安全构成影响的风险因素，不遗漏风险</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准确性。依据《国家电网公司安全事故调查规程》、《国家电网公司十八项电网重大反事故措施》等，对风险进行有效辨识，准确判明风险大小，确定预控范围，明确预控要求，不放大风险、不降低标准</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及时性。风险预警发布要预留合理时间，对于计划性工作，预警通知单</w:t>
      </w:r>
      <w:r>
        <w:rPr>
          <w:rFonts w:hint="eastAsia" w:hAnsi="宋体" w:cs="宋体"/>
          <w:highlight w:val="none"/>
          <w:lang w:val="en-US" w:eastAsia="zh-CN"/>
        </w:rPr>
        <w:t>应</w:t>
      </w:r>
      <w:r>
        <w:rPr>
          <w:rFonts w:hint="eastAsia" w:ascii="宋体" w:hAnsi="宋体" w:eastAsia="宋体" w:cs="宋体"/>
          <w:highlight w:val="none"/>
        </w:rPr>
        <w:t>在工作实施前3个工作日发布，管控措施</w:t>
      </w:r>
      <w:r>
        <w:rPr>
          <w:rFonts w:hint="eastAsia" w:hAnsi="宋体" w:cs="宋体"/>
          <w:highlight w:val="none"/>
          <w:lang w:val="en-US" w:eastAsia="zh-CN"/>
        </w:rPr>
        <w:t>应</w:t>
      </w:r>
      <w:r>
        <w:rPr>
          <w:rFonts w:hint="eastAsia" w:ascii="宋体" w:hAnsi="宋体" w:eastAsia="宋体" w:cs="宋体"/>
          <w:highlight w:val="none"/>
        </w:rPr>
        <w:t>在工作实施前1个工作日反馈。对于突发性风险，各级调度应立即开展风险分析并发布预警通知单，相关运维单位通过电话或邮件方式反馈管控措施</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可靠性。制定切实可靠并具有可操作性的风险管控措施，明确设备、责任、时间、范围，风险管控可靠有效。</w:t>
      </w:r>
    </w:p>
    <w:p>
      <w:pPr>
        <w:pStyle w:val="176"/>
        <w:numPr>
          <w:ilvl w:val="0"/>
          <w:numId w:val="51"/>
        </w:numPr>
        <w:rPr>
          <w:rFonts w:hint="eastAsia" w:ascii="宋体" w:hAnsi="宋体" w:eastAsia="宋体" w:cs="宋体"/>
          <w:highlight w:val="none"/>
        </w:rPr>
      </w:pPr>
      <w:r>
        <w:rPr>
          <w:rFonts w:hint="eastAsia" w:ascii="宋体" w:hAnsi="宋体" w:eastAsia="宋体" w:cs="宋体"/>
          <w:highlight w:val="none"/>
        </w:rPr>
        <w:t>通信系统运行风险预警管控应与通信应急处置工作有序衔接，针对风险可能失控的情况，制定完善应急预案，制定落实应急措施，及时启动应急机制，全方位做好通信系统运行安全工作。</w:t>
      </w:r>
    </w:p>
    <w:p>
      <w:pPr>
        <w:pStyle w:val="176"/>
        <w:numPr>
          <w:ilvl w:val="0"/>
          <w:numId w:val="51"/>
        </w:numPr>
        <w:rPr>
          <w:rFonts w:hint="eastAsia" w:ascii="宋体" w:hAnsi="宋体" w:eastAsia="宋体" w:cs="宋体"/>
          <w:highlight w:val="none"/>
        </w:rPr>
      </w:pPr>
      <w:r>
        <w:rPr>
          <w:rFonts w:hint="eastAsia" w:ascii="宋体" w:hAnsi="宋体" w:eastAsia="宋体" w:cs="宋体"/>
          <w:highlight w:val="none"/>
        </w:rPr>
        <w:t>建立通信系统运行风险预警管控评估、检查、考核机制，不断提升运转效率和效果。</w:t>
      </w:r>
    </w:p>
    <w:p>
      <w:pPr>
        <w:pStyle w:val="111"/>
        <w:rPr>
          <w:rFonts w:hint="eastAsia" w:ascii="宋体" w:hAnsi="宋体" w:eastAsia="宋体" w:cs="宋体"/>
          <w:highlight w:val="none"/>
        </w:rPr>
      </w:pPr>
      <w:r>
        <w:rPr>
          <w:rFonts w:hint="eastAsia" w:ascii="宋体" w:hAnsi="宋体" w:eastAsia="宋体" w:cs="宋体"/>
          <w:highlight w:val="none"/>
        </w:rPr>
        <w:t>建立评估机制。逐月对本级通信系统运行风险预警发布、措施落实、实际效果等进行统计、分析和评估。重要通信系统运行风险预警逐次开展评估</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开展监督检查。结合春（秋）季安全检查、隐患排查治理等工作，对通信系统运行风险预警管控机制建立和运转情况进行检查</w:t>
      </w:r>
      <w:r>
        <w:rPr>
          <w:rFonts w:hint="eastAsia" w:ascii="宋体" w:hAnsi="宋体" w:eastAsia="宋体" w:cs="宋体"/>
          <w:highlight w:val="none"/>
          <w:lang w:eastAsia="zh-CN"/>
        </w:rPr>
        <w:t>。</w:t>
      </w:r>
    </w:p>
    <w:p>
      <w:pPr>
        <w:pStyle w:val="111"/>
        <w:rPr>
          <w:rFonts w:hint="eastAsia" w:ascii="宋体" w:hAnsi="宋体" w:eastAsia="宋体" w:cs="宋体"/>
          <w:highlight w:val="none"/>
        </w:rPr>
      </w:pPr>
      <w:r>
        <w:rPr>
          <w:rFonts w:hint="eastAsia" w:ascii="宋体" w:hAnsi="宋体" w:eastAsia="宋体" w:cs="宋体"/>
          <w:highlight w:val="none"/>
        </w:rPr>
        <w:t>严格事件考核。针对通信设备事件，将通信系统运行风险预警管控工作情况纳入调查范围，对于责任不到位、措施不落实等引起的安全事件，按规定追究责任。</w:t>
      </w:r>
    </w:p>
    <w:p>
      <w:pPr>
        <w:pStyle w:val="106"/>
        <w:spacing w:before="240" w:after="240"/>
        <w:rPr>
          <w:highlight w:val="none"/>
        </w:rPr>
      </w:pPr>
      <w:bookmarkStart w:id="73" w:name="_Toc17995"/>
      <w:r>
        <w:rPr>
          <w:rFonts w:hint="eastAsia"/>
          <w:highlight w:val="none"/>
          <w:lang w:val="en-US" w:eastAsia="zh-CN"/>
        </w:rPr>
        <w:t>故障处置</w:t>
      </w:r>
      <w:bookmarkEnd w:id="73"/>
    </w:p>
    <w:p>
      <w:pPr>
        <w:pStyle w:val="107"/>
        <w:spacing w:before="120" w:after="120"/>
        <w:rPr>
          <w:highlight w:val="none"/>
        </w:rPr>
      </w:pPr>
      <w:bookmarkStart w:id="74" w:name="_Toc7302"/>
      <w:r>
        <w:rPr>
          <w:rFonts w:hint="eastAsia"/>
          <w:highlight w:val="none"/>
          <w:lang w:val="en-US" w:eastAsia="zh-CN"/>
        </w:rPr>
        <w:t>故障分级</w:t>
      </w:r>
      <w:bookmarkEnd w:id="74"/>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本规程所称通信设备缺陷是指因通信设备自身质量问题、老化、技术性能不良或工程安装等外部环境因素造成设备出现以下一种或多种现象：</w:t>
      </w:r>
    </w:p>
    <w:p>
      <w:pPr>
        <w:pStyle w:val="176"/>
        <w:numPr>
          <w:ilvl w:val="0"/>
          <w:numId w:val="52"/>
        </w:numPr>
        <w:rPr>
          <w:rFonts w:hint="eastAsia" w:ascii="宋体" w:hAnsi="宋体" w:eastAsia="宋体" w:cs="宋体"/>
          <w:highlight w:val="none"/>
        </w:rPr>
      </w:pPr>
      <w:r>
        <w:rPr>
          <w:rFonts w:hint="eastAsia" w:ascii="宋体" w:hAnsi="宋体" w:eastAsia="宋体" w:cs="宋体"/>
          <w:highlight w:val="none"/>
        </w:rPr>
        <w:t>自身的运行机能丧失、异常</w:t>
      </w:r>
      <w:r>
        <w:rPr>
          <w:rFonts w:hint="eastAsia" w:ascii="宋体" w:hAnsi="宋体" w:eastAsia="宋体" w:cs="宋体"/>
          <w:highlight w:val="none"/>
          <w:lang w:eastAsia="zh-CN"/>
        </w:rPr>
        <w:t>。</w:t>
      </w:r>
    </w:p>
    <w:p>
      <w:pPr>
        <w:pStyle w:val="176"/>
        <w:numPr>
          <w:ilvl w:val="0"/>
          <w:numId w:val="52"/>
        </w:numPr>
        <w:rPr>
          <w:rFonts w:hint="eastAsia" w:ascii="宋体" w:hAnsi="宋体" w:eastAsia="宋体" w:cs="宋体"/>
          <w:highlight w:val="none"/>
        </w:rPr>
      </w:pPr>
      <w:r>
        <w:rPr>
          <w:rFonts w:hint="eastAsia" w:ascii="宋体" w:hAnsi="宋体" w:eastAsia="宋体" w:cs="宋体"/>
          <w:highlight w:val="none"/>
        </w:rPr>
        <w:t>物理缺损</w:t>
      </w:r>
      <w:r>
        <w:rPr>
          <w:rFonts w:hint="eastAsia" w:ascii="宋体" w:hAnsi="宋体" w:eastAsia="宋体" w:cs="宋体"/>
          <w:highlight w:val="none"/>
          <w:lang w:eastAsia="zh-CN"/>
        </w:rPr>
        <w:t>。</w:t>
      </w:r>
    </w:p>
    <w:p>
      <w:pPr>
        <w:pStyle w:val="176"/>
        <w:numPr>
          <w:ilvl w:val="0"/>
          <w:numId w:val="52"/>
        </w:numPr>
        <w:rPr>
          <w:rFonts w:hint="eastAsia" w:ascii="宋体" w:hAnsi="宋体" w:eastAsia="宋体" w:cs="宋体"/>
          <w:highlight w:val="none"/>
        </w:rPr>
      </w:pPr>
      <w:r>
        <w:rPr>
          <w:rFonts w:hint="eastAsia" w:ascii="宋体" w:hAnsi="宋体" w:eastAsia="宋体" w:cs="宋体"/>
          <w:highlight w:val="none"/>
        </w:rPr>
        <w:t>安装隐患</w:t>
      </w:r>
      <w:r>
        <w:rPr>
          <w:rFonts w:hint="eastAsia" w:ascii="宋体" w:hAnsi="宋体" w:eastAsia="宋体" w:cs="宋体"/>
          <w:highlight w:val="none"/>
          <w:lang w:eastAsia="zh-CN"/>
        </w:rPr>
        <w:t>。</w:t>
      </w:r>
    </w:p>
    <w:p>
      <w:pPr>
        <w:pStyle w:val="176"/>
        <w:numPr>
          <w:ilvl w:val="0"/>
          <w:numId w:val="52"/>
        </w:numPr>
        <w:rPr>
          <w:rFonts w:hint="eastAsia" w:ascii="宋体" w:hAnsi="宋体" w:eastAsia="宋体" w:cs="宋体"/>
          <w:highlight w:val="none"/>
        </w:rPr>
      </w:pPr>
      <w:r>
        <w:rPr>
          <w:rFonts w:hint="eastAsia" w:ascii="宋体" w:hAnsi="宋体" w:eastAsia="宋体" w:cs="宋体"/>
          <w:highlight w:val="none"/>
        </w:rPr>
        <w:t>对设备安全运行构成威胁。</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按照严重程度可分为一至五级故障</w:t>
      </w:r>
      <w:r>
        <w:rPr>
          <w:rFonts w:hint="eastAsia" w:ascii="宋体" w:hAnsi="宋体" w:eastAsia="宋体" w:cs="宋体"/>
          <w:highlight w:val="none"/>
          <w:lang w:eastAsia="zh-CN"/>
        </w:rPr>
        <w:t>：</w:t>
      </w:r>
    </w:p>
    <w:p>
      <w:pPr>
        <w:pStyle w:val="176"/>
        <w:numPr>
          <w:ilvl w:val="0"/>
          <w:numId w:val="53"/>
        </w:numPr>
        <w:rPr>
          <w:rFonts w:hint="eastAsia" w:ascii="宋体" w:hAnsi="宋体" w:eastAsia="宋体" w:cs="宋体"/>
          <w:highlight w:val="none"/>
        </w:rPr>
      </w:pPr>
      <w:r>
        <w:rPr>
          <w:rFonts w:hint="eastAsia" w:ascii="宋体" w:hAnsi="宋体" w:eastAsia="宋体" w:cs="宋体"/>
          <w:highlight w:val="none"/>
        </w:rPr>
        <w:t>一级故障指造成网调及以上调管电厂通信业务中断的通信设备缺陷</w:t>
      </w:r>
      <w:r>
        <w:rPr>
          <w:rFonts w:hint="eastAsia" w:ascii="宋体" w:hAnsi="宋体" w:eastAsia="宋体" w:cs="宋体"/>
          <w:highlight w:val="none"/>
          <w:lang w:eastAsia="zh-CN"/>
        </w:rPr>
        <w:t>。</w:t>
      </w:r>
    </w:p>
    <w:p>
      <w:pPr>
        <w:pStyle w:val="176"/>
        <w:numPr>
          <w:ilvl w:val="0"/>
          <w:numId w:val="53"/>
        </w:numPr>
        <w:rPr>
          <w:rFonts w:hint="eastAsia" w:ascii="宋体" w:hAnsi="宋体" w:eastAsia="宋体" w:cs="宋体"/>
          <w:highlight w:val="none"/>
        </w:rPr>
      </w:pPr>
      <w:r>
        <w:rPr>
          <w:rFonts w:hint="eastAsia" w:ascii="宋体" w:hAnsi="宋体" w:eastAsia="宋体" w:cs="宋体"/>
          <w:highlight w:val="none"/>
        </w:rPr>
        <w:t>二级故障指造成网调及以上调管电厂通信业务通道中断、设备监控失效，以及省调及以下调管电厂通信业务中断的通信设备缺陷</w:t>
      </w:r>
      <w:r>
        <w:rPr>
          <w:rFonts w:hint="eastAsia" w:ascii="宋体" w:hAnsi="宋体" w:eastAsia="宋体" w:cs="宋体"/>
          <w:highlight w:val="none"/>
          <w:lang w:eastAsia="zh-CN"/>
        </w:rPr>
        <w:t>。</w:t>
      </w:r>
    </w:p>
    <w:p>
      <w:pPr>
        <w:pStyle w:val="176"/>
        <w:numPr>
          <w:ilvl w:val="0"/>
          <w:numId w:val="53"/>
        </w:numPr>
        <w:rPr>
          <w:rFonts w:hint="eastAsia" w:ascii="宋体" w:hAnsi="宋体" w:eastAsia="宋体" w:cs="宋体"/>
          <w:highlight w:val="none"/>
        </w:rPr>
      </w:pPr>
      <w:r>
        <w:rPr>
          <w:rFonts w:hint="eastAsia" w:ascii="宋体" w:hAnsi="宋体" w:eastAsia="宋体" w:cs="宋体"/>
          <w:highlight w:val="none"/>
        </w:rPr>
        <w:t>三级故障指造成网调及以上调管电厂通信业务通道的冗余策略失效、设备交叉板卡及电源板卡失备，以及省调及以下调管电厂通信业务通道中断、设备监控失效的通信设备缺陷</w:t>
      </w:r>
      <w:r>
        <w:rPr>
          <w:rFonts w:hint="eastAsia" w:ascii="宋体" w:hAnsi="宋体" w:eastAsia="宋体" w:cs="宋体"/>
          <w:highlight w:val="none"/>
          <w:lang w:eastAsia="zh-CN"/>
        </w:rPr>
        <w:t>。</w:t>
      </w:r>
    </w:p>
    <w:p>
      <w:pPr>
        <w:pStyle w:val="176"/>
        <w:numPr>
          <w:ilvl w:val="0"/>
          <w:numId w:val="53"/>
        </w:numPr>
        <w:rPr>
          <w:rFonts w:hint="eastAsia" w:ascii="宋体" w:hAnsi="宋体" w:eastAsia="宋体" w:cs="宋体"/>
          <w:highlight w:val="none"/>
        </w:rPr>
      </w:pPr>
      <w:r>
        <w:rPr>
          <w:rFonts w:hint="eastAsia" w:ascii="宋体" w:hAnsi="宋体" w:eastAsia="宋体" w:cs="宋体"/>
          <w:highlight w:val="none"/>
        </w:rPr>
        <w:t>四级故障指造成网调及以上调管电厂通信设备性能指标下降、省调及以下调管电厂通信业务通道的冗余策略失效、省调及以下调管电厂通信设备交叉板卡及电源板卡失备的通信设备缺陷</w:t>
      </w:r>
      <w:r>
        <w:rPr>
          <w:rFonts w:hint="eastAsia" w:ascii="宋体" w:hAnsi="宋体" w:eastAsia="宋体" w:cs="宋体"/>
          <w:highlight w:val="none"/>
          <w:lang w:eastAsia="zh-CN"/>
        </w:rPr>
        <w:t>。</w:t>
      </w:r>
    </w:p>
    <w:p>
      <w:pPr>
        <w:pStyle w:val="176"/>
        <w:numPr>
          <w:ilvl w:val="0"/>
          <w:numId w:val="53"/>
        </w:numPr>
        <w:rPr>
          <w:rFonts w:hint="eastAsia" w:ascii="宋体" w:hAnsi="宋体" w:eastAsia="宋体" w:cs="宋体"/>
          <w:highlight w:val="none"/>
        </w:rPr>
      </w:pPr>
      <w:r>
        <w:rPr>
          <w:rFonts w:hint="eastAsia" w:ascii="宋体" w:hAnsi="宋体" w:eastAsia="宋体" w:cs="宋体"/>
          <w:highlight w:val="none"/>
        </w:rPr>
        <w:t>五级故障指造成省调及以下调管电厂通信设备性能指标下降的通信设备缺陷</w:t>
      </w:r>
      <w:r>
        <w:rPr>
          <w:rFonts w:hint="eastAsia" w:ascii="宋体" w:hAnsi="宋体" w:eastAsia="宋体" w:cs="宋体"/>
          <w:highlight w:val="none"/>
          <w:lang w:eastAsia="zh-CN"/>
        </w:rPr>
        <w:t>。</w:t>
      </w:r>
    </w:p>
    <w:p>
      <w:pPr>
        <w:pStyle w:val="107"/>
        <w:spacing w:before="120" w:after="120"/>
        <w:rPr>
          <w:highlight w:val="none"/>
        </w:rPr>
      </w:pPr>
      <w:bookmarkStart w:id="75" w:name="_Toc30955"/>
      <w:r>
        <w:rPr>
          <w:rFonts w:hint="eastAsia"/>
          <w:highlight w:val="none"/>
          <w:lang w:val="en-US" w:eastAsia="zh-CN"/>
        </w:rPr>
        <w:t>处置原则</w:t>
      </w:r>
      <w:bookmarkEnd w:id="75"/>
    </w:p>
    <w:p>
      <w:pPr>
        <w:pStyle w:val="58"/>
        <w:rPr>
          <w:rFonts w:hint="eastAsia" w:ascii="宋体" w:hAnsi="宋体" w:eastAsia="宋体" w:cs="宋体"/>
          <w:highlight w:val="none"/>
        </w:rPr>
      </w:pPr>
      <w:r>
        <w:rPr>
          <w:rFonts w:hint="eastAsia" w:ascii="宋体" w:hAnsi="宋体" w:eastAsia="宋体" w:cs="宋体"/>
          <w:highlight w:val="none"/>
        </w:rPr>
        <w:t>运维单位应按照“先抢通、后修复；先干线、后支线；先生产业务、后其它业务；先上级业务、后下级业务”的故障处置原则，结合工作实际，滚动修订网络、设备和光缆现场处置方案，并定期进行验证性演练。</w:t>
      </w:r>
    </w:p>
    <w:p>
      <w:pPr>
        <w:pStyle w:val="107"/>
        <w:spacing w:before="120" w:after="120"/>
        <w:rPr>
          <w:highlight w:val="none"/>
        </w:rPr>
      </w:pPr>
      <w:bookmarkStart w:id="76" w:name="_Toc31211"/>
      <w:r>
        <w:rPr>
          <w:rFonts w:hint="eastAsia"/>
          <w:highlight w:val="none"/>
          <w:lang w:val="en-US" w:eastAsia="zh-CN"/>
        </w:rPr>
        <w:t>处置要求</w:t>
      </w:r>
      <w:bookmarkEnd w:id="76"/>
    </w:p>
    <w:p>
      <w:pPr>
        <w:pStyle w:val="58"/>
        <w:rPr>
          <w:rFonts w:ascii="Times New Roman" w:hAnsi="Times New Roman" w:eastAsia="宋体" w:cs="Times New Roman"/>
          <w:highlight w:val="none"/>
        </w:rPr>
      </w:pPr>
      <w:r>
        <w:rPr>
          <w:rFonts w:ascii="Times New Roman" w:hAnsi="Times New Roman" w:eastAsia="宋体" w:cs="Times New Roman"/>
          <w:highlight w:val="none"/>
        </w:rPr>
        <w:t>发生故障后，要在保障安全生产的前提下，第一时间开展故障处置，并立即汇报上级通信职能管理部门及相关调度机构。</w:t>
      </w:r>
    </w:p>
    <w:p>
      <w:pPr>
        <w:pStyle w:val="107"/>
        <w:spacing w:before="120" w:after="120"/>
        <w:rPr>
          <w:highlight w:val="none"/>
        </w:rPr>
      </w:pPr>
      <w:bookmarkStart w:id="77" w:name="_Toc23057"/>
      <w:r>
        <w:rPr>
          <w:rFonts w:hint="eastAsia"/>
          <w:highlight w:val="none"/>
          <w:lang w:val="en-US" w:eastAsia="zh-CN"/>
        </w:rPr>
        <w:t>故障分析</w:t>
      </w:r>
      <w:bookmarkEnd w:id="77"/>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网络和设备故障宜按照故障预判、故障定位、故障抢修工作步骤进行处置。</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光缆故障宜按照故障预判、故障定位、故障巡视、故障抢修工作步骤进行处置。</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处理传输支路侧、低速率电路故障时，应防止对传输线路侧、高速率电路产生影响。</w:t>
      </w:r>
    </w:p>
    <w:p>
      <w:pPr>
        <w:pStyle w:val="67"/>
        <w:spacing w:before="0" w:beforeLines="0" w:after="0" w:afterLines="0"/>
        <w:rPr>
          <w:rFonts w:hint="eastAsia" w:ascii="宋体" w:hAnsi="宋体" w:eastAsia="宋体" w:cs="宋体"/>
          <w:highlight w:val="none"/>
        </w:rPr>
      </w:pPr>
      <w:r>
        <w:rPr>
          <w:rFonts w:ascii="Times New Roman" w:hAnsi="Times New Roman" w:eastAsia="宋体" w:cs="Times New Roman"/>
          <w:highlight w:val="none"/>
        </w:rPr>
        <w:t>故障处置时，短时间内难以恢复的主用系统和设备故障，应及时启用备用系统和设备恢复；短时间内难以恢复的重要光缆故障，应采取临时光缆抢通恢复；短时间内难以恢复的重要业务电路故障，应采取迂回、转接电路方式恢复。故障处置完毕，应恢复原运行方式。</w:t>
      </w:r>
    </w:p>
    <w:p>
      <w:pPr>
        <w:pStyle w:val="107"/>
        <w:spacing w:before="120" w:after="120"/>
        <w:rPr>
          <w:highlight w:val="none"/>
        </w:rPr>
      </w:pPr>
      <w:bookmarkStart w:id="78" w:name="_Toc24346"/>
      <w:r>
        <w:rPr>
          <w:rFonts w:hint="eastAsia"/>
          <w:highlight w:val="none"/>
          <w:lang w:val="en-US" w:eastAsia="zh-CN"/>
        </w:rPr>
        <w:t>事件调查</w:t>
      </w:r>
      <w:bookmarkEnd w:id="78"/>
    </w:p>
    <w:p>
      <w:pPr>
        <w:pStyle w:val="58"/>
        <w:rPr>
          <w:rFonts w:ascii="Times New Roman" w:hAnsi="Times New Roman" w:eastAsia="宋体" w:cs="Times New Roman"/>
          <w:highlight w:val="none"/>
        </w:rPr>
      </w:pPr>
      <w:r>
        <w:rPr>
          <w:rFonts w:ascii="Times New Roman" w:hAnsi="Times New Roman" w:eastAsia="宋体" w:cs="Times New Roman"/>
          <w:highlight w:val="none"/>
        </w:rPr>
        <w:t>构成四级及以上故障的通信系统故障应组织调查，形成分析报告，制定预防措施及整改计划。</w:t>
      </w:r>
    </w:p>
    <w:p>
      <w:pPr>
        <w:pStyle w:val="106"/>
        <w:spacing w:before="240" w:after="240"/>
        <w:rPr>
          <w:highlight w:val="none"/>
        </w:rPr>
      </w:pPr>
      <w:bookmarkStart w:id="79" w:name="_Toc12991"/>
      <w:r>
        <w:rPr>
          <w:rFonts w:hint="eastAsia"/>
          <w:highlight w:val="none"/>
          <w:lang w:val="en-US" w:eastAsia="zh-CN"/>
        </w:rPr>
        <w:t>支撑保障</w:t>
      </w:r>
      <w:bookmarkEnd w:id="79"/>
    </w:p>
    <w:p>
      <w:pPr>
        <w:pStyle w:val="107"/>
        <w:spacing w:before="120" w:after="120"/>
        <w:rPr>
          <w:highlight w:val="none"/>
        </w:rPr>
      </w:pPr>
      <w:bookmarkStart w:id="80" w:name="_Toc22019"/>
      <w:r>
        <w:rPr>
          <w:rFonts w:hint="eastAsia"/>
          <w:highlight w:val="none"/>
          <w:lang w:val="en-US" w:eastAsia="zh-CN"/>
        </w:rPr>
        <w:t>备品备件</w:t>
      </w:r>
      <w:bookmarkEnd w:id="80"/>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配置备品备件</w:t>
      </w:r>
      <w:r>
        <w:rPr>
          <w:rFonts w:hint="eastAsia" w:ascii="宋体" w:hAnsi="宋体" w:eastAsia="宋体" w:cs="宋体"/>
          <w:highlight w:val="none"/>
          <w:lang w:eastAsia="zh-CN"/>
        </w:rPr>
        <w:t>应</w:t>
      </w:r>
      <w:r>
        <w:rPr>
          <w:rFonts w:hint="eastAsia" w:ascii="宋体" w:hAnsi="宋体" w:eastAsia="宋体" w:cs="宋体"/>
          <w:highlight w:val="none"/>
        </w:rPr>
        <w:t>能保障抢修供给，提高资金利用效率，缩短故障抢修时长。</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备品备件应包括：光设备板卡、光缆、光缆金具、接续盒、站内通信电源模块及线缆等。</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备品备件的出入库及使用检验原则：</w:t>
      </w:r>
    </w:p>
    <w:p>
      <w:pPr>
        <w:pStyle w:val="176"/>
        <w:numPr>
          <w:ilvl w:val="0"/>
          <w:numId w:val="54"/>
        </w:numPr>
        <w:rPr>
          <w:rFonts w:hint="eastAsia" w:ascii="宋体" w:hAnsi="宋体" w:eastAsia="宋体" w:cs="宋体"/>
          <w:highlight w:val="none"/>
        </w:rPr>
      </w:pPr>
      <w:r>
        <w:rPr>
          <w:rFonts w:hint="eastAsia" w:ascii="宋体" w:hAnsi="宋体" w:eastAsia="宋体" w:cs="宋体"/>
          <w:highlight w:val="none"/>
        </w:rPr>
        <w:t>备品备件仓库管理员应组织相关人员对其出入库、采购、返修后的设备认真核对规格型号、生产厂家，并对产品质量进行检测，确认其功能正常、指标合格后才能签收入库储放，并及时在资源管理系统中登记进帐</w:t>
      </w:r>
      <w:r>
        <w:rPr>
          <w:rFonts w:hint="eastAsia" w:ascii="宋体" w:hAnsi="宋体" w:eastAsia="宋体" w:cs="宋体"/>
          <w:highlight w:val="none"/>
          <w:lang w:eastAsia="zh-CN"/>
        </w:rPr>
        <w:t>。</w:t>
      </w:r>
    </w:p>
    <w:p>
      <w:pPr>
        <w:pStyle w:val="176"/>
        <w:numPr>
          <w:ilvl w:val="0"/>
          <w:numId w:val="54"/>
        </w:numPr>
        <w:rPr>
          <w:rFonts w:hint="eastAsia" w:ascii="宋体" w:hAnsi="宋体" w:eastAsia="宋体" w:cs="宋体"/>
          <w:highlight w:val="none"/>
        </w:rPr>
      </w:pPr>
      <w:r>
        <w:rPr>
          <w:rFonts w:hint="eastAsia" w:ascii="宋体" w:hAnsi="宋体" w:eastAsia="宋体" w:cs="宋体"/>
          <w:highlight w:val="none"/>
        </w:rPr>
        <w:t>如需使用备品备件，需经相关专业人员核实确认后，向备品备件仓库管理员提出申请，由专业领导签字确认后，管理员根据资源管理系统中备品备件资源实际情况进行调配</w:t>
      </w:r>
      <w:r>
        <w:rPr>
          <w:rFonts w:hint="eastAsia" w:ascii="宋体" w:hAnsi="宋体" w:eastAsia="宋体" w:cs="宋体"/>
          <w:highlight w:val="none"/>
          <w:lang w:eastAsia="zh-CN"/>
        </w:rPr>
        <w:t>。</w:t>
      </w:r>
    </w:p>
    <w:p>
      <w:pPr>
        <w:pStyle w:val="176"/>
        <w:numPr>
          <w:ilvl w:val="0"/>
          <w:numId w:val="54"/>
        </w:numPr>
        <w:rPr>
          <w:rFonts w:hint="eastAsia" w:ascii="宋体" w:hAnsi="宋体" w:eastAsia="宋体" w:cs="宋体"/>
          <w:highlight w:val="none"/>
        </w:rPr>
      </w:pPr>
      <w:r>
        <w:rPr>
          <w:rFonts w:hint="eastAsia" w:ascii="宋体" w:hAnsi="宋体" w:eastAsia="宋体" w:cs="宋体"/>
          <w:highlight w:val="none"/>
        </w:rPr>
        <w:t>备品备件仓库管理员每半年对备品备件予以检验核查，并对核查结果予以登记，确保其功能正常、指标合格</w:t>
      </w:r>
      <w:r>
        <w:rPr>
          <w:rFonts w:hint="eastAsia" w:ascii="宋体" w:hAnsi="宋体" w:eastAsia="宋体" w:cs="宋体"/>
          <w:highlight w:val="none"/>
          <w:lang w:eastAsia="zh-CN"/>
        </w:rPr>
        <w:t>。</w:t>
      </w:r>
    </w:p>
    <w:p>
      <w:pPr>
        <w:pStyle w:val="176"/>
        <w:numPr>
          <w:ilvl w:val="0"/>
          <w:numId w:val="54"/>
        </w:numPr>
        <w:rPr>
          <w:rFonts w:hint="eastAsia" w:ascii="宋体" w:hAnsi="宋体" w:eastAsia="宋体" w:cs="宋体"/>
          <w:highlight w:val="none"/>
        </w:rPr>
      </w:pPr>
      <w:r>
        <w:rPr>
          <w:rFonts w:hint="eastAsia" w:ascii="宋体" w:hAnsi="宋体" w:eastAsia="宋体" w:cs="宋体"/>
          <w:highlight w:val="none"/>
        </w:rPr>
        <w:t>如备品备件使用后剩余数量无法满足应急需求，应根据已使用备件的规格型号和生产厂家进行采购补充。</w:t>
      </w:r>
    </w:p>
    <w:p>
      <w:pPr>
        <w:pStyle w:val="107"/>
        <w:spacing w:before="120" w:after="120"/>
        <w:rPr>
          <w:highlight w:val="none"/>
        </w:rPr>
      </w:pPr>
      <w:bookmarkStart w:id="81" w:name="_Toc32334"/>
      <w:r>
        <w:rPr>
          <w:rFonts w:hint="eastAsia"/>
          <w:highlight w:val="none"/>
          <w:lang w:val="en-US" w:eastAsia="zh-CN"/>
        </w:rPr>
        <w:t>仪器仪表</w:t>
      </w:r>
      <w:bookmarkEnd w:id="81"/>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系统维护仪表装置的数量与品种应满足日常</w:t>
      </w:r>
      <w:r>
        <w:rPr>
          <w:rFonts w:hint="eastAsia" w:ascii="宋体" w:hAnsi="宋体" w:eastAsia="宋体" w:cs="宋体"/>
          <w:highlight w:val="none"/>
          <w:lang w:eastAsia="zh-CN"/>
        </w:rPr>
        <w:t>运维</w:t>
      </w:r>
      <w:r>
        <w:rPr>
          <w:rFonts w:hint="eastAsia" w:ascii="宋体" w:hAnsi="宋体" w:eastAsia="宋体" w:cs="宋体"/>
          <w:highlight w:val="none"/>
        </w:rPr>
        <w:t>的需要，仪表的配置应按维护范围及站型</w:t>
      </w:r>
      <w:r>
        <w:rPr>
          <w:rFonts w:hint="eastAsia" w:ascii="宋体" w:hAnsi="宋体" w:eastAsia="宋体" w:cs="宋体"/>
          <w:highlight w:val="none"/>
          <w:lang w:val="en-US" w:eastAsia="zh-CN"/>
        </w:rPr>
        <w:t>选择</w:t>
      </w:r>
      <w:r>
        <w:rPr>
          <w:rFonts w:hint="eastAsia" w:ascii="宋体" w:hAnsi="宋体" w:eastAsia="宋体" w:cs="宋体"/>
          <w:highlight w:val="none"/>
        </w:rPr>
        <w:t>。工程设计在选配维护仪表时，</w:t>
      </w:r>
      <w:r>
        <w:rPr>
          <w:rFonts w:hint="eastAsia" w:ascii="宋体" w:hAnsi="宋体" w:eastAsia="宋体" w:cs="宋体"/>
          <w:highlight w:val="none"/>
          <w:lang w:eastAsia="zh-CN"/>
        </w:rPr>
        <w:t>应</w:t>
      </w:r>
      <w:r>
        <w:rPr>
          <w:rFonts w:hint="eastAsia" w:ascii="宋体" w:hAnsi="宋体" w:eastAsia="宋体" w:cs="宋体"/>
          <w:highlight w:val="none"/>
        </w:rPr>
        <w:t>进行调查研究</w:t>
      </w:r>
      <w:r>
        <w:rPr>
          <w:rFonts w:hint="eastAsia" w:ascii="宋体" w:hAnsi="宋体" w:eastAsia="宋体" w:cs="宋体"/>
          <w:highlight w:val="none"/>
          <w:lang w:eastAsia="zh-CN"/>
        </w:rPr>
        <w:t>并</w:t>
      </w:r>
      <w:r>
        <w:rPr>
          <w:rFonts w:hint="eastAsia" w:ascii="宋体" w:hAnsi="宋体" w:eastAsia="宋体" w:cs="宋体"/>
          <w:highlight w:val="none"/>
        </w:rPr>
        <w:t>根据实际情况配置。改、扩建及分期建设的光通信站不应重复配置仪表。无人值守的光通信站</w:t>
      </w:r>
      <w:r>
        <w:rPr>
          <w:rFonts w:hint="eastAsia" w:ascii="宋体" w:hAnsi="宋体" w:eastAsia="宋体" w:cs="宋体"/>
          <w:highlight w:val="none"/>
          <w:lang w:eastAsia="zh-CN"/>
        </w:rPr>
        <w:t>可</w:t>
      </w:r>
      <w:r>
        <w:rPr>
          <w:rFonts w:hint="eastAsia" w:ascii="宋体" w:hAnsi="宋体" w:eastAsia="宋体" w:cs="宋体"/>
          <w:highlight w:val="none"/>
        </w:rPr>
        <w:t>不配备仪表。</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仪器仪表应包括：数字传输分析仪（具有标准 FEC 测试分析功能）、光纤识别仪、光源、大功率光功率计、大动态范围 OTDR。</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仪器仪表的保存使用等基本工作要求：</w:t>
      </w:r>
    </w:p>
    <w:p>
      <w:pPr>
        <w:pStyle w:val="176"/>
        <w:numPr>
          <w:ilvl w:val="0"/>
          <w:numId w:val="55"/>
        </w:numPr>
        <w:rPr>
          <w:rFonts w:hint="eastAsia" w:ascii="宋体" w:hAnsi="宋体" w:eastAsia="宋体" w:cs="宋体"/>
          <w:highlight w:val="none"/>
        </w:rPr>
      </w:pPr>
      <w:r>
        <w:rPr>
          <w:rFonts w:hint="eastAsia" w:ascii="宋体" w:hAnsi="宋体" w:eastAsia="宋体" w:cs="宋体"/>
          <w:highlight w:val="none"/>
        </w:rPr>
        <w:t>应安排专人负责应急、抢险用备品备件、仪器仪表及工器具和材料的管理，保存完好、可用。</w:t>
      </w:r>
    </w:p>
    <w:p>
      <w:pPr>
        <w:pStyle w:val="176"/>
        <w:numPr>
          <w:ilvl w:val="0"/>
          <w:numId w:val="55"/>
        </w:numPr>
        <w:rPr>
          <w:rFonts w:hint="eastAsia" w:ascii="宋体" w:hAnsi="宋体" w:eastAsia="宋体" w:cs="宋体"/>
          <w:highlight w:val="none"/>
        </w:rPr>
      </w:pPr>
      <w:r>
        <w:rPr>
          <w:rFonts w:hint="eastAsia" w:ascii="宋体" w:hAnsi="宋体" w:eastAsia="宋体" w:cs="宋体"/>
          <w:highlight w:val="none"/>
        </w:rPr>
        <w:t>仪器仪表应按期在计量部门进行计量检验，并建立登记簿记录故障及维修情况，未经计量检验合格的仪器仪表，</w:t>
      </w:r>
      <w:r>
        <w:rPr>
          <w:rFonts w:hint="eastAsia" w:hAnsi="宋体" w:cs="宋体"/>
          <w:highlight w:val="none"/>
          <w:lang w:val="en-US" w:eastAsia="zh-CN"/>
        </w:rPr>
        <w:t>不宜</w:t>
      </w:r>
      <w:r>
        <w:rPr>
          <w:rFonts w:hint="eastAsia" w:ascii="宋体" w:hAnsi="宋体" w:eastAsia="宋体" w:cs="宋体"/>
          <w:highlight w:val="none"/>
        </w:rPr>
        <w:t>使用；应对运维人员进行必要的仪器仪表操作培训，运维人员经考核合格后方能进行仪器仪表操作，并应按照仪器仪表说明书和有关规定正确使用。</w:t>
      </w:r>
    </w:p>
    <w:p>
      <w:pPr>
        <w:pStyle w:val="176"/>
        <w:numPr>
          <w:ilvl w:val="0"/>
          <w:numId w:val="55"/>
        </w:numPr>
        <w:rPr>
          <w:rFonts w:hint="eastAsia" w:ascii="宋体" w:hAnsi="宋体" w:eastAsia="宋体" w:cs="宋体"/>
          <w:highlight w:val="none"/>
        </w:rPr>
      </w:pPr>
      <w:r>
        <w:rPr>
          <w:rFonts w:hint="eastAsia" w:ascii="宋体" w:hAnsi="宋体" w:eastAsia="宋体" w:cs="宋体"/>
          <w:highlight w:val="none"/>
        </w:rPr>
        <w:t>仪器仪表的计量结果、故障与维修情况及所属附件和说明书均应予以登记。</w:t>
      </w:r>
    </w:p>
    <w:p>
      <w:pPr>
        <w:pStyle w:val="176"/>
        <w:numPr>
          <w:ilvl w:val="0"/>
          <w:numId w:val="55"/>
        </w:numPr>
        <w:rPr>
          <w:rFonts w:hint="eastAsia" w:ascii="宋体" w:hAnsi="宋体" w:eastAsia="宋体" w:cs="宋体"/>
          <w:highlight w:val="none"/>
        </w:rPr>
      </w:pPr>
      <w:r>
        <w:rPr>
          <w:rFonts w:hint="eastAsia" w:ascii="宋体" w:hAnsi="宋体" w:eastAsia="宋体" w:cs="宋体"/>
          <w:highlight w:val="none"/>
        </w:rPr>
        <w:t>仪器仪表管理员应每半年汇总统计总库及各地分库各类仪器仪表的库存数量、故障返修率等。</w:t>
      </w:r>
    </w:p>
    <w:p>
      <w:pPr>
        <w:pStyle w:val="107"/>
        <w:spacing w:before="120" w:after="120"/>
        <w:rPr>
          <w:highlight w:val="none"/>
        </w:rPr>
      </w:pPr>
      <w:bookmarkStart w:id="82" w:name="_Toc18716"/>
      <w:r>
        <w:rPr>
          <w:rFonts w:hint="eastAsia"/>
          <w:highlight w:val="none"/>
          <w:lang w:val="en-US" w:eastAsia="zh-CN"/>
        </w:rPr>
        <w:t>工器具</w:t>
      </w:r>
      <w:bookmarkEnd w:id="82"/>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lang w:val="en-US" w:eastAsia="zh-CN"/>
        </w:rPr>
        <w:t>工器具应集中采购、集中管理、分级存放。</w:t>
      </w:r>
      <w:r>
        <w:rPr>
          <w:rFonts w:hint="eastAsia" w:ascii="宋体" w:hAnsi="宋体" w:eastAsia="宋体" w:cs="宋体"/>
          <w:highlight w:val="none"/>
        </w:rPr>
        <w:t>应对工器具统一管理，实行出入库管理制度，定期检查清理，做到账物相符。</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工器具清单</w:t>
      </w:r>
      <w:r>
        <w:rPr>
          <w:rFonts w:hint="eastAsia" w:ascii="宋体" w:hAnsi="宋体" w:eastAsia="宋体" w:cs="宋体"/>
          <w:highlight w:val="none"/>
          <w:lang w:eastAsia="zh-CN"/>
        </w:rPr>
        <w:t>包括</w:t>
      </w:r>
      <w:r>
        <w:rPr>
          <w:rFonts w:hint="eastAsia" w:ascii="宋体" w:hAnsi="宋体" w:eastAsia="宋体" w:cs="宋体"/>
          <w:highlight w:val="none"/>
        </w:rPr>
        <w:t>：光纤熔接机、光纤清洁器、护目镜、防电弧手套、绝缘工具、螺丝刀（一字、十字）、网线钳。</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工器具的保存、使用、检验、补充原则：</w:t>
      </w:r>
    </w:p>
    <w:p>
      <w:pPr>
        <w:pStyle w:val="176"/>
        <w:numPr>
          <w:ilvl w:val="0"/>
          <w:numId w:val="56"/>
        </w:numPr>
        <w:rPr>
          <w:rFonts w:hint="eastAsia" w:ascii="宋体" w:hAnsi="宋体" w:eastAsia="宋体" w:cs="宋体"/>
          <w:highlight w:val="none"/>
        </w:rPr>
      </w:pPr>
      <w:r>
        <w:rPr>
          <w:rFonts w:hint="eastAsia" w:ascii="宋体" w:hAnsi="宋体" w:eastAsia="宋体" w:cs="宋体"/>
          <w:highlight w:val="none"/>
        </w:rPr>
        <w:t>工器具管理人员应对出入库及采购、返修后的工器具认真核对并对产品质量进行检测，确认其功能正常、指标合格后才能签收入库储放，并及时在资源管理系统中登记进帐。</w:t>
      </w:r>
    </w:p>
    <w:p>
      <w:pPr>
        <w:pStyle w:val="176"/>
        <w:numPr>
          <w:ilvl w:val="0"/>
          <w:numId w:val="56"/>
        </w:numPr>
        <w:rPr>
          <w:rFonts w:hint="eastAsia" w:ascii="宋体" w:hAnsi="宋体" w:eastAsia="宋体" w:cs="宋体"/>
          <w:highlight w:val="none"/>
        </w:rPr>
      </w:pPr>
      <w:r>
        <w:rPr>
          <w:rFonts w:hint="eastAsia"/>
          <w:highlight w:val="none"/>
          <w:lang w:eastAsia="zh-CN"/>
        </w:rPr>
        <w:t>工器具的使用应经</w:t>
      </w:r>
      <w:r>
        <w:rPr>
          <w:rFonts w:hint="eastAsia"/>
          <w:highlight w:val="none"/>
          <w:lang w:val="en-US" w:eastAsia="zh-CN"/>
        </w:rPr>
        <w:t>相关专业人员核实确认，并向工器具管理员提出申请，由工器具管理员根据资源管理系统中工器具资源实际情况进行调配</w:t>
      </w:r>
      <w:r>
        <w:rPr>
          <w:rFonts w:hint="eastAsia" w:ascii="宋体" w:hAnsi="宋体" w:eastAsia="宋体" w:cs="宋体"/>
          <w:highlight w:val="none"/>
        </w:rPr>
        <w:t>。</w:t>
      </w:r>
    </w:p>
    <w:p>
      <w:pPr>
        <w:pStyle w:val="176"/>
        <w:numPr>
          <w:ilvl w:val="0"/>
          <w:numId w:val="56"/>
        </w:numPr>
        <w:rPr>
          <w:rFonts w:hint="eastAsia" w:ascii="宋体" w:hAnsi="宋体" w:eastAsia="宋体" w:cs="宋体"/>
          <w:highlight w:val="none"/>
        </w:rPr>
      </w:pPr>
      <w:r>
        <w:rPr>
          <w:rFonts w:hint="eastAsia" w:ascii="宋体" w:hAnsi="宋体" w:eastAsia="宋体" w:cs="宋体"/>
          <w:highlight w:val="none"/>
        </w:rPr>
        <w:t>工器具应由具有相关资质的检测机构定期进行检测，确保其绝缘性、安全性及性能指标满足需求。</w:t>
      </w:r>
    </w:p>
    <w:p>
      <w:pPr>
        <w:pStyle w:val="176"/>
        <w:numPr>
          <w:ilvl w:val="0"/>
          <w:numId w:val="56"/>
        </w:numPr>
        <w:rPr>
          <w:rFonts w:hint="eastAsia" w:ascii="宋体" w:hAnsi="宋体" w:eastAsia="宋体" w:cs="宋体"/>
          <w:highlight w:val="none"/>
        </w:rPr>
      </w:pPr>
      <w:r>
        <w:rPr>
          <w:rFonts w:hint="eastAsia" w:ascii="宋体" w:hAnsi="宋体" w:eastAsia="宋体" w:cs="宋体"/>
          <w:highlight w:val="none"/>
        </w:rPr>
        <w:t>工器具管理员（兼）每半年汇总统计总库及各地分库各类工器具的库存数量、故障返修率等，提供给各专业维护人员，以便分析质量，或及时补充库存。</w:t>
      </w:r>
    </w:p>
    <w:p>
      <w:pPr>
        <w:pStyle w:val="107"/>
        <w:spacing w:before="120" w:after="120"/>
        <w:rPr>
          <w:highlight w:val="none"/>
        </w:rPr>
      </w:pPr>
      <w:bookmarkStart w:id="83" w:name="_Toc28627"/>
      <w:r>
        <w:rPr>
          <w:rFonts w:hint="eastAsia"/>
          <w:highlight w:val="none"/>
          <w:lang w:val="en-US" w:eastAsia="zh-CN"/>
        </w:rPr>
        <w:t>标识标签</w:t>
      </w:r>
      <w:bookmarkEnd w:id="83"/>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标识标签</w:t>
      </w:r>
      <w:r>
        <w:rPr>
          <w:rFonts w:hint="eastAsia" w:ascii="宋体" w:hAnsi="宋体" w:eastAsia="宋体" w:cs="宋体"/>
          <w:highlight w:val="none"/>
          <w:lang w:eastAsia="zh-CN"/>
        </w:rPr>
        <w:t>应</w:t>
      </w:r>
      <w:r>
        <w:rPr>
          <w:rFonts w:hint="eastAsia" w:ascii="宋体" w:hAnsi="宋体" w:eastAsia="宋体" w:cs="宋体"/>
          <w:highlight w:val="none"/>
        </w:rPr>
        <w:t>能反映当前设备的产品规格、运行方式。</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标识标签种类及清单：</w:t>
      </w:r>
    </w:p>
    <w:p>
      <w:pPr>
        <w:pStyle w:val="176"/>
        <w:numPr>
          <w:ilvl w:val="0"/>
          <w:numId w:val="57"/>
        </w:numPr>
        <w:rPr>
          <w:rFonts w:hint="eastAsia" w:ascii="宋体" w:hAnsi="宋体" w:eastAsia="宋体" w:cs="宋体"/>
          <w:highlight w:val="none"/>
        </w:rPr>
      </w:pPr>
      <w:r>
        <w:rPr>
          <w:rFonts w:hint="eastAsia" w:ascii="宋体" w:hAnsi="宋体" w:eastAsia="宋体" w:cs="宋体"/>
          <w:highlight w:val="none"/>
        </w:rPr>
        <w:t>机柜类标签：屏眉标签、柜体标签</w:t>
      </w:r>
      <w:r>
        <w:rPr>
          <w:rFonts w:hint="eastAsia" w:ascii="宋体" w:hAnsi="宋体" w:eastAsia="宋体" w:cs="宋体"/>
          <w:highlight w:val="none"/>
          <w:lang w:eastAsia="zh-CN"/>
        </w:rPr>
        <w:t>。</w:t>
      </w:r>
    </w:p>
    <w:p>
      <w:pPr>
        <w:pStyle w:val="176"/>
        <w:numPr>
          <w:ilvl w:val="0"/>
          <w:numId w:val="57"/>
        </w:numPr>
        <w:rPr>
          <w:rFonts w:hint="eastAsia" w:ascii="宋体" w:hAnsi="宋体" w:eastAsia="宋体" w:cs="宋体"/>
          <w:highlight w:val="none"/>
        </w:rPr>
      </w:pPr>
      <w:r>
        <w:rPr>
          <w:rFonts w:hint="eastAsia" w:ascii="宋体" w:hAnsi="宋体" w:eastAsia="宋体" w:cs="宋体"/>
          <w:highlight w:val="none"/>
        </w:rPr>
        <w:t>设备类标签：设备标签、板卡标签、业务标签</w:t>
      </w:r>
      <w:r>
        <w:rPr>
          <w:rFonts w:hint="eastAsia" w:ascii="宋体" w:hAnsi="宋体" w:eastAsia="宋体" w:cs="宋体"/>
          <w:highlight w:val="none"/>
          <w:lang w:eastAsia="zh-CN"/>
        </w:rPr>
        <w:t>。</w:t>
      </w:r>
    </w:p>
    <w:p>
      <w:pPr>
        <w:pStyle w:val="176"/>
        <w:numPr>
          <w:ilvl w:val="0"/>
          <w:numId w:val="57"/>
        </w:numPr>
        <w:rPr>
          <w:rFonts w:hint="eastAsia" w:ascii="宋体" w:hAnsi="宋体" w:eastAsia="宋体" w:cs="宋体"/>
          <w:highlight w:val="none"/>
        </w:rPr>
      </w:pPr>
      <w:r>
        <w:rPr>
          <w:rFonts w:hint="eastAsia" w:ascii="宋体" w:hAnsi="宋体" w:eastAsia="宋体" w:cs="宋体"/>
          <w:highlight w:val="none"/>
        </w:rPr>
        <w:t>线缆类标签：配线标签、光缆标签</w:t>
      </w:r>
      <w:r>
        <w:rPr>
          <w:rFonts w:hint="eastAsia" w:ascii="宋体" w:hAnsi="宋体" w:eastAsia="宋体" w:cs="宋体"/>
          <w:highlight w:val="none"/>
          <w:lang w:eastAsia="zh-CN"/>
        </w:rPr>
        <w:t>。</w:t>
      </w:r>
    </w:p>
    <w:p>
      <w:pPr>
        <w:pStyle w:val="176"/>
        <w:numPr>
          <w:ilvl w:val="0"/>
          <w:numId w:val="57"/>
        </w:numPr>
        <w:rPr>
          <w:rFonts w:hint="eastAsia" w:ascii="宋体" w:hAnsi="宋体" w:eastAsia="宋体" w:cs="宋体"/>
          <w:highlight w:val="none"/>
        </w:rPr>
      </w:pPr>
      <w:r>
        <w:rPr>
          <w:rFonts w:hint="eastAsia" w:ascii="宋体" w:hAnsi="宋体" w:eastAsia="宋体" w:cs="宋体"/>
          <w:highlight w:val="none"/>
        </w:rPr>
        <w:t>开关类标签：电源空开标签、电源线缆标签</w:t>
      </w:r>
      <w:r>
        <w:rPr>
          <w:rFonts w:hint="eastAsia" w:ascii="宋体" w:hAnsi="宋体" w:eastAsia="宋体" w:cs="宋体"/>
          <w:highlight w:val="none"/>
          <w:lang w:eastAsia="zh-CN"/>
        </w:rPr>
        <w:t>。</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标识标签应展示该设备的完整信息，</w:t>
      </w:r>
      <w:r>
        <w:rPr>
          <w:rFonts w:hint="eastAsia" w:ascii="宋体" w:hAnsi="宋体" w:eastAsia="宋体" w:cs="宋体"/>
          <w:highlight w:val="none"/>
          <w:lang w:eastAsia="zh-CN"/>
        </w:rPr>
        <w:t>信息应准确、详实</w:t>
      </w:r>
      <w:r>
        <w:rPr>
          <w:rFonts w:hint="eastAsia" w:ascii="宋体" w:hAnsi="宋体" w:eastAsia="宋体" w:cs="宋体"/>
          <w:highlight w:val="none"/>
        </w:rPr>
        <w:t>，具体要求如下：</w:t>
      </w:r>
    </w:p>
    <w:p>
      <w:pPr>
        <w:pStyle w:val="176"/>
        <w:numPr>
          <w:ilvl w:val="0"/>
          <w:numId w:val="58"/>
        </w:numPr>
        <w:rPr>
          <w:rFonts w:hint="eastAsia" w:ascii="宋体" w:hAnsi="宋体" w:eastAsia="宋体" w:cs="宋体"/>
          <w:highlight w:val="none"/>
        </w:rPr>
      </w:pPr>
      <w:r>
        <w:rPr>
          <w:rFonts w:hint="eastAsia" w:ascii="宋体" w:hAnsi="宋体" w:eastAsia="宋体" w:cs="宋体"/>
          <w:highlight w:val="none"/>
        </w:rPr>
        <w:t>屏眉和柜体标签采用光银拉丝打印纸，其他采用塑料标签打印纸，标清该屏名称及柜体型号。</w:t>
      </w:r>
    </w:p>
    <w:p>
      <w:pPr>
        <w:pStyle w:val="176"/>
        <w:numPr>
          <w:ilvl w:val="0"/>
          <w:numId w:val="58"/>
        </w:numPr>
        <w:rPr>
          <w:rFonts w:hint="eastAsia" w:ascii="宋体" w:hAnsi="宋体" w:eastAsia="宋体" w:cs="宋体"/>
          <w:highlight w:val="none"/>
        </w:rPr>
      </w:pPr>
      <w:r>
        <w:rPr>
          <w:rFonts w:hint="eastAsia" w:ascii="宋体" w:hAnsi="宋体" w:eastAsia="宋体" w:cs="宋体"/>
          <w:highlight w:val="none"/>
        </w:rPr>
        <w:t>设备标签应标注设备坐落站点名称、设备类型、生产厂家、设备型号、设备所属网络、设备投运时间等。板卡标签应标注所用板卡的具体功能和规格(如光板、交叉板、以太网板等)，业务标签应标注业务名称、业务方向，空间足够的应标注业务的整体运行方式。</w:t>
      </w:r>
    </w:p>
    <w:p>
      <w:pPr>
        <w:pStyle w:val="176"/>
        <w:numPr>
          <w:ilvl w:val="0"/>
          <w:numId w:val="58"/>
        </w:numPr>
        <w:rPr>
          <w:rFonts w:hint="eastAsia" w:ascii="宋体" w:hAnsi="宋体" w:eastAsia="宋体" w:cs="宋体"/>
          <w:highlight w:val="none"/>
        </w:rPr>
      </w:pPr>
      <w:r>
        <w:rPr>
          <w:rFonts w:hint="eastAsia" w:ascii="宋体" w:hAnsi="宋体" w:eastAsia="宋体" w:cs="宋体"/>
          <w:highlight w:val="none"/>
        </w:rPr>
        <w:t>配线标签和光缆标签应标注光路、电路对应方向。</w:t>
      </w:r>
    </w:p>
    <w:p>
      <w:pPr>
        <w:pStyle w:val="176"/>
        <w:numPr>
          <w:ilvl w:val="0"/>
          <w:numId w:val="58"/>
        </w:numPr>
        <w:rPr>
          <w:rFonts w:hint="eastAsia" w:ascii="宋体" w:hAnsi="宋体" w:eastAsia="宋体" w:cs="宋体"/>
          <w:highlight w:val="none"/>
        </w:rPr>
      </w:pPr>
      <w:r>
        <w:rPr>
          <w:rFonts w:hint="eastAsia" w:ascii="宋体" w:hAnsi="宋体" w:eastAsia="宋体" w:cs="宋体"/>
          <w:highlight w:val="none"/>
        </w:rPr>
        <w:t>电源空开标签和电源线缆标签应标注空开及线缆名称、允许通过的最大电流等规格要求。</w:t>
      </w:r>
    </w:p>
    <w:p>
      <w:pPr>
        <w:pStyle w:val="107"/>
        <w:spacing w:before="120" w:after="120"/>
        <w:rPr>
          <w:highlight w:val="none"/>
        </w:rPr>
      </w:pPr>
      <w:bookmarkStart w:id="84" w:name="_Toc12211"/>
      <w:r>
        <w:rPr>
          <w:rFonts w:hint="eastAsia"/>
          <w:highlight w:val="none"/>
          <w:lang w:val="en-US" w:eastAsia="zh-CN"/>
        </w:rPr>
        <w:t>运维记录</w:t>
      </w:r>
      <w:bookmarkEnd w:id="84"/>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运维记录</w:t>
      </w:r>
      <w:r>
        <w:rPr>
          <w:rFonts w:hint="eastAsia" w:ascii="宋体" w:hAnsi="宋体" w:eastAsia="宋体" w:cs="宋体"/>
          <w:highlight w:val="none"/>
          <w:lang w:eastAsia="zh-CN"/>
        </w:rPr>
        <w:t>应</w:t>
      </w:r>
      <w:r>
        <w:rPr>
          <w:rFonts w:hint="eastAsia" w:ascii="宋体" w:hAnsi="宋体" w:eastAsia="宋体" w:cs="宋体"/>
          <w:highlight w:val="none"/>
        </w:rPr>
        <w:t>能反映站内设备的阶段性检查结果、故障处理流程及设备运行情况。</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运维记录</w:t>
      </w:r>
      <w:r>
        <w:rPr>
          <w:rFonts w:hint="eastAsia" w:ascii="宋体" w:hAnsi="宋体" w:eastAsia="宋体" w:cs="宋体"/>
          <w:highlight w:val="none"/>
          <w:lang w:eastAsia="zh-CN"/>
        </w:rPr>
        <w:t>应</w:t>
      </w:r>
      <w:r>
        <w:rPr>
          <w:rFonts w:hint="eastAsia" w:ascii="宋体" w:hAnsi="宋体" w:eastAsia="宋体" w:cs="宋体"/>
          <w:highlight w:val="none"/>
        </w:rPr>
        <w:t>详细、准确，完整展示日常运行情况。</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运维必备的工作记录清单包括：设备及光缆定期测试记录、蓄电池充放电记录、通信机房巡视记录、故障处理记录等。</w:t>
      </w:r>
    </w:p>
    <w:p>
      <w:pPr>
        <w:pStyle w:val="67"/>
        <w:spacing w:before="0" w:beforeLines="0" w:after="0" w:afterLines="0"/>
        <w:rPr>
          <w:rFonts w:hint="eastAsia" w:ascii="宋体" w:hAnsi="宋体" w:eastAsia="宋体" w:cs="宋体"/>
          <w:highlight w:val="none"/>
        </w:rPr>
      </w:pPr>
      <w:r>
        <w:rPr>
          <w:rFonts w:hint="eastAsia" w:ascii="宋体" w:hAnsi="宋体" w:eastAsia="宋体" w:cs="宋体"/>
          <w:highlight w:val="none"/>
        </w:rPr>
        <w:t>运维记录的编写及应用等具体工作要求如下：</w:t>
      </w:r>
    </w:p>
    <w:p>
      <w:pPr>
        <w:pStyle w:val="176"/>
        <w:numPr>
          <w:ilvl w:val="0"/>
          <w:numId w:val="59"/>
        </w:numPr>
        <w:rPr>
          <w:rFonts w:hint="eastAsia" w:ascii="宋体" w:hAnsi="宋体" w:eastAsia="宋体" w:cs="宋体"/>
          <w:highlight w:val="none"/>
        </w:rPr>
      </w:pPr>
      <w:r>
        <w:rPr>
          <w:rFonts w:hint="eastAsia" w:ascii="宋体" w:hAnsi="宋体" w:eastAsia="宋体" w:cs="宋体"/>
          <w:highlight w:val="none"/>
        </w:rPr>
        <w:t>定期测试记录应反映测试时间、线缆及设备参数变化、测试数据的准确性等。</w:t>
      </w:r>
    </w:p>
    <w:p>
      <w:pPr>
        <w:pStyle w:val="176"/>
        <w:numPr>
          <w:ilvl w:val="0"/>
          <w:numId w:val="59"/>
        </w:numPr>
        <w:rPr>
          <w:rFonts w:hint="eastAsia" w:ascii="宋体" w:hAnsi="宋体" w:eastAsia="宋体" w:cs="宋体"/>
          <w:highlight w:val="none"/>
        </w:rPr>
      </w:pPr>
      <w:r>
        <w:rPr>
          <w:rFonts w:hint="eastAsia" w:ascii="宋体" w:hAnsi="宋体" w:eastAsia="宋体" w:cs="宋体"/>
          <w:highlight w:val="none"/>
        </w:rPr>
        <w:t>蓄电池充放电记录应反映充放电时间、蓄电池剩余容量、单体电压变化等重要参数</w:t>
      </w:r>
      <w:r>
        <w:rPr>
          <w:rFonts w:hint="eastAsia" w:ascii="宋体" w:hAnsi="宋体" w:eastAsia="宋体" w:cs="宋体"/>
          <w:highlight w:val="none"/>
          <w:lang w:eastAsia="zh-CN"/>
        </w:rPr>
        <w:t>。</w:t>
      </w:r>
    </w:p>
    <w:p>
      <w:pPr>
        <w:pStyle w:val="176"/>
        <w:numPr>
          <w:ilvl w:val="0"/>
          <w:numId w:val="59"/>
        </w:numPr>
        <w:rPr>
          <w:rFonts w:hint="eastAsia" w:ascii="宋体" w:hAnsi="宋体" w:eastAsia="宋体" w:cs="宋体"/>
          <w:highlight w:val="none"/>
        </w:rPr>
      </w:pPr>
      <w:r>
        <w:rPr>
          <w:rFonts w:hint="eastAsia" w:ascii="宋体" w:hAnsi="宋体" w:eastAsia="宋体" w:cs="宋体"/>
          <w:highlight w:val="none"/>
        </w:rPr>
        <w:t>通信机房巡视记录应反映巡视时间、机房设备运行情况、告警指示情况等</w:t>
      </w:r>
      <w:r>
        <w:rPr>
          <w:rFonts w:hint="eastAsia" w:ascii="宋体" w:hAnsi="宋体" w:eastAsia="宋体" w:cs="宋体"/>
          <w:highlight w:val="none"/>
          <w:lang w:eastAsia="zh-CN"/>
        </w:rPr>
        <w:t>。</w:t>
      </w:r>
    </w:p>
    <w:p>
      <w:pPr>
        <w:pStyle w:val="176"/>
        <w:numPr>
          <w:ilvl w:val="0"/>
          <w:numId w:val="59"/>
        </w:numPr>
        <w:rPr>
          <w:rFonts w:hint="eastAsia" w:ascii="宋体" w:hAnsi="宋体" w:eastAsia="宋体" w:cs="宋体"/>
          <w:highlight w:val="none"/>
        </w:rPr>
      </w:pPr>
      <w:r>
        <w:rPr>
          <w:rFonts w:hint="eastAsia" w:ascii="宋体" w:hAnsi="宋体" w:eastAsia="宋体" w:cs="宋体"/>
          <w:highlight w:val="none"/>
        </w:rPr>
        <w:t>故障处理记录应反映故障处理时长、故障处理简单经过、故障点位置等。</w:t>
      </w:r>
    </w:p>
    <w:p>
      <w:pPr>
        <w:pStyle w:val="106"/>
        <w:spacing w:before="240" w:after="240"/>
        <w:rPr>
          <w:highlight w:val="none"/>
        </w:rPr>
      </w:pPr>
      <w:bookmarkStart w:id="85" w:name="_Toc14260"/>
      <w:r>
        <w:rPr>
          <w:rFonts w:hint="eastAsia"/>
          <w:highlight w:val="none"/>
          <w:lang w:val="en-US" w:eastAsia="zh-CN"/>
        </w:rPr>
        <w:t>质量管理</w:t>
      </w:r>
      <w:bookmarkEnd w:id="85"/>
    </w:p>
    <w:p>
      <w:pPr>
        <w:pStyle w:val="107"/>
        <w:spacing w:before="120" w:after="120"/>
        <w:rPr>
          <w:highlight w:val="none"/>
        </w:rPr>
      </w:pPr>
      <w:bookmarkStart w:id="86" w:name="_Toc24002"/>
      <w:r>
        <w:rPr>
          <w:rFonts w:hint="eastAsia"/>
          <w:highlight w:val="none"/>
          <w:lang w:val="en-US" w:eastAsia="zh-CN"/>
        </w:rPr>
        <w:t>质量指标</w:t>
      </w:r>
      <w:bookmarkEnd w:id="86"/>
    </w:p>
    <w:p>
      <w:pPr>
        <w:pStyle w:val="67"/>
        <w:spacing w:before="157" w:beforeLines="50" w:after="157" w:afterLines="50"/>
        <w:rPr>
          <w:rFonts w:hint="eastAsia" w:ascii="宋体" w:hAnsi="宋体" w:eastAsia="宋体" w:cs="宋体"/>
          <w:highlight w:val="none"/>
        </w:rPr>
      </w:pPr>
      <w:r>
        <w:rPr>
          <w:rFonts w:hint="eastAsia" w:ascii="黑体" w:hAnsi="黑体" w:eastAsia="黑体" w:cs="黑体"/>
          <w:b w:val="0"/>
          <w:kern w:val="2"/>
          <w:sz w:val="21"/>
          <w:highlight w:val="none"/>
          <w:lang w:val="en-US" w:eastAsia="zh-CN" w:bidi="ar-SA"/>
        </w:rPr>
        <w:t>SDH 设备</w:t>
      </w:r>
    </w:p>
    <w:p>
      <w:pPr>
        <w:pStyle w:val="176"/>
        <w:numPr>
          <w:ilvl w:val="-1"/>
          <w:numId w:val="0"/>
        </w:numPr>
        <w:spacing w:beforeLines="0" w:afterLines="0"/>
        <w:ind w:left="425" w:firstLine="0"/>
        <w:rPr>
          <w:rFonts w:hint="eastAsia" w:ascii="宋体" w:hAnsi="宋体" w:eastAsia="宋体" w:cs="宋体"/>
          <w:highlight w:val="none"/>
        </w:rPr>
      </w:pPr>
      <w:r>
        <w:rPr>
          <w:rFonts w:hint="eastAsia" w:ascii="宋体" w:hAnsi="宋体" w:eastAsia="宋体" w:cs="宋体"/>
          <w:highlight w:val="none"/>
        </w:rPr>
        <w:t>SDH网络关键性能指标包括但不限于：</w:t>
      </w:r>
    </w:p>
    <w:p>
      <w:pPr>
        <w:pStyle w:val="176"/>
        <w:numPr>
          <w:ilvl w:val="0"/>
          <w:numId w:val="60"/>
        </w:numPr>
        <w:rPr>
          <w:rFonts w:hint="eastAsia" w:ascii="宋体" w:hAnsi="宋体" w:eastAsia="宋体" w:cs="宋体"/>
          <w:highlight w:val="none"/>
        </w:rPr>
      </w:pPr>
      <w:r>
        <w:rPr>
          <w:rFonts w:hint="eastAsia" w:ascii="宋体" w:hAnsi="宋体" w:eastAsia="宋体" w:cs="宋体"/>
          <w:highlight w:val="none"/>
        </w:rPr>
        <w:t>再生段、复用段、高阶通道、低阶通道</w:t>
      </w:r>
      <w:r>
        <w:rPr>
          <w:rFonts w:hint="eastAsia" w:hAnsi="宋体" w:cs="宋体"/>
          <w:highlight w:val="none"/>
          <w:lang w:val="en-US" w:eastAsia="zh-CN"/>
        </w:rPr>
        <w:t>短期误码秒</w:t>
      </w:r>
      <w:r>
        <w:rPr>
          <w:rFonts w:hint="eastAsia" w:ascii="宋体" w:hAnsi="宋体" w:eastAsia="宋体" w:cs="宋体"/>
          <w:highlight w:val="none"/>
        </w:rPr>
        <w:t>、</w:t>
      </w:r>
      <w:r>
        <w:rPr>
          <w:rFonts w:hint="eastAsia" w:hAnsi="宋体" w:cs="宋体"/>
          <w:highlight w:val="none"/>
          <w:lang w:val="en-US" w:eastAsia="zh-CN"/>
        </w:rPr>
        <w:t>严重误码秒</w:t>
      </w:r>
      <w:r>
        <w:rPr>
          <w:rFonts w:hint="eastAsia" w:ascii="宋体" w:hAnsi="宋体" w:eastAsia="宋体" w:cs="宋体"/>
          <w:highlight w:val="none"/>
        </w:rPr>
        <w:t>：0。</w:t>
      </w:r>
    </w:p>
    <w:p>
      <w:pPr>
        <w:pStyle w:val="176"/>
        <w:numPr>
          <w:ilvl w:val="0"/>
          <w:numId w:val="60"/>
        </w:numPr>
        <w:rPr>
          <w:rFonts w:hint="eastAsia" w:ascii="宋体" w:hAnsi="宋体" w:eastAsia="宋体" w:cs="宋体"/>
          <w:highlight w:val="none"/>
        </w:rPr>
      </w:pPr>
      <w:r>
        <w:rPr>
          <w:rFonts w:hint="eastAsia" w:ascii="宋体" w:hAnsi="宋体" w:eastAsia="宋体" w:cs="宋体"/>
          <w:highlight w:val="none"/>
        </w:rPr>
        <w:t>继电保护业务通道单向时延：≤10ms。</w:t>
      </w:r>
    </w:p>
    <w:p>
      <w:pPr>
        <w:pStyle w:val="67"/>
        <w:spacing w:before="0" w:beforeLines="0" w:after="0" w:afterLines="0"/>
        <w:rPr>
          <w:rFonts w:hint="eastAsia" w:ascii="宋体" w:hAnsi="宋体" w:eastAsia="宋体" w:cs="宋体"/>
          <w:highlight w:val="none"/>
        </w:rPr>
      </w:pPr>
      <w:r>
        <w:rPr>
          <w:rFonts w:hint="eastAsia" w:ascii="宋体" w:hAnsi="宋体" w:eastAsia="宋体" w:cs="宋体"/>
          <w:b w:val="0"/>
          <w:kern w:val="2"/>
          <w:sz w:val="21"/>
          <w:highlight w:val="none"/>
          <w:lang w:val="en-US" w:eastAsia="zh-CN" w:bidi="ar-SA"/>
        </w:rPr>
        <w:t>OTN 设备：</w:t>
      </w:r>
    </w:p>
    <w:p>
      <w:pPr>
        <w:pStyle w:val="176"/>
        <w:numPr>
          <w:ilvl w:val="0"/>
          <w:numId w:val="61"/>
        </w:numPr>
        <w:spacing w:beforeLines="0" w:afterLines="0"/>
        <w:rPr>
          <w:rFonts w:hint="eastAsia" w:ascii="宋体" w:hAnsi="宋体" w:eastAsia="宋体" w:cs="宋体"/>
          <w:highlight w:val="none"/>
        </w:rPr>
      </w:pPr>
      <w:r>
        <w:rPr>
          <w:rFonts w:hint="eastAsia" w:ascii="宋体" w:hAnsi="宋体" w:eastAsia="宋体" w:cs="宋体"/>
          <w:highlight w:val="none"/>
        </w:rPr>
        <w:t>OTN网络关键性能指标包括但不限于：</w:t>
      </w:r>
    </w:p>
    <w:p>
      <w:pPr>
        <w:pStyle w:val="111"/>
        <w:spacing w:beforeLines="0" w:afterLines="0"/>
        <w:rPr>
          <w:rFonts w:hint="eastAsia" w:ascii="宋体" w:hAnsi="宋体" w:eastAsia="宋体" w:cs="宋体"/>
          <w:highlight w:val="none"/>
        </w:rPr>
      </w:pPr>
      <w:r>
        <w:rPr>
          <w:rFonts w:hint="eastAsia" w:ascii="宋体" w:hAnsi="宋体" w:eastAsia="宋体" w:cs="宋体"/>
          <w:highlight w:val="none"/>
        </w:rPr>
        <w:t>ODUk、OTUk 层</w:t>
      </w:r>
      <w:r>
        <w:rPr>
          <w:rFonts w:hint="eastAsia" w:hAnsi="宋体" w:cs="宋体"/>
          <w:highlight w:val="none"/>
          <w:lang w:val="en-US" w:eastAsia="zh-CN"/>
        </w:rPr>
        <w:t>短期误码秒</w:t>
      </w:r>
      <w:r>
        <w:rPr>
          <w:rFonts w:hint="eastAsia" w:ascii="宋体" w:hAnsi="宋体" w:eastAsia="宋体" w:cs="宋体"/>
          <w:highlight w:val="none"/>
        </w:rPr>
        <w:t>、</w:t>
      </w:r>
      <w:r>
        <w:rPr>
          <w:rFonts w:hint="eastAsia" w:hAnsi="宋体" w:cs="宋体"/>
          <w:highlight w:val="none"/>
          <w:lang w:val="en-US" w:eastAsia="zh-CN"/>
        </w:rPr>
        <w:t>严重误码秒</w:t>
      </w:r>
      <w:r>
        <w:rPr>
          <w:rFonts w:hint="eastAsia" w:ascii="宋体" w:hAnsi="宋体" w:eastAsia="宋体" w:cs="宋体"/>
          <w:highlight w:val="none"/>
        </w:rPr>
        <w:t>：0。</w:t>
      </w:r>
    </w:p>
    <w:p>
      <w:pPr>
        <w:pStyle w:val="111"/>
        <w:spacing w:beforeLines="0" w:afterLines="0"/>
        <w:rPr>
          <w:rFonts w:hint="eastAsia" w:ascii="宋体" w:hAnsi="宋体" w:eastAsia="宋体" w:cs="宋体"/>
          <w:highlight w:val="none"/>
        </w:rPr>
      </w:pPr>
      <w:r>
        <w:rPr>
          <w:rFonts w:hint="eastAsia" w:ascii="宋体" w:hAnsi="宋体" w:eastAsia="宋体" w:cs="宋体"/>
          <w:highlight w:val="none"/>
        </w:rPr>
        <w:t>OTN 光信噪比、波道功率差符合DL/T 5524 的规定。</w:t>
      </w:r>
    </w:p>
    <w:p>
      <w:pPr>
        <w:pStyle w:val="67"/>
        <w:spacing w:before="0" w:beforeLines="0" w:after="0" w:afterLines="0"/>
        <w:rPr>
          <w:rFonts w:hint="eastAsia" w:ascii="宋体" w:hAnsi="宋体" w:eastAsia="宋体" w:cs="宋体"/>
          <w:highlight w:val="none"/>
        </w:rPr>
      </w:pPr>
      <w:r>
        <w:rPr>
          <w:rFonts w:hint="eastAsia" w:ascii="宋体" w:hAnsi="宋体" w:eastAsia="宋体" w:cs="宋体"/>
          <w:b w:val="0"/>
          <w:kern w:val="2"/>
          <w:sz w:val="21"/>
          <w:highlight w:val="none"/>
          <w:lang w:val="en-US" w:eastAsia="zh-CN" w:bidi="ar-SA"/>
        </w:rPr>
        <w:t>PTN 设备：</w:t>
      </w:r>
    </w:p>
    <w:p>
      <w:pPr>
        <w:pStyle w:val="176"/>
        <w:numPr>
          <w:ilvl w:val="0"/>
          <w:numId w:val="62"/>
        </w:numPr>
        <w:spacing w:beforeLines="0" w:afterLines="0"/>
        <w:rPr>
          <w:rFonts w:hint="eastAsia" w:ascii="宋体" w:hAnsi="宋体" w:eastAsia="宋体" w:cs="宋体"/>
          <w:highlight w:val="none"/>
        </w:rPr>
      </w:pPr>
      <w:r>
        <w:rPr>
          <w:rFonts w:hint="eastAsia" w:ascii="宋体" w:hAnsi="宋体" w:eastAsia="宋体" w:cs="宋体"/>
          <w:highlight w:val="none"/>
        </w:rPr>
        <w:t>PTN网络关键性能指标包括但不限于：</w:t>
      </w:r>
    </w:p>
    <w:p>
      <w:pPr>
        <w:pStyle w:val="111"/>
        <w:spacing w:beforeLines="0" w:afterLines="0"/>
        <w:rPr>
          <w:rFonts w:hint="eastAsia" w:ascii="宋体" w:hAnsi="宋体" w:eastAsia="宋体" w:cs="宋体"/>
          <w:highlight w:val="none"/>
        </w:rPr>
      </w:pPr>
      <w:r>
        <w:rPr>
          <w:rFonts w:hint="eastAsia" w:ascii="宋体" w:hAnsi="宋体" w:eastAsia="宋体" w:cs="宋体"/>
          <w:highlight w:val="none"/>
        </w:rPr>
        <w:t>不拥塞的网络条件下，对于以太网端到端业务，高等级业务以及低等级业务的CIR 部分丢包率（24h 监测）：0。</w:t>
      </w:r>
    </w:p>
    <w:p>
      <w:pPr>
        <w:pStyle w:val="111"/>
        <w:spacing w:beforeLines="0" w:afterLines="0"/>
        <w:rPr>
          <w:rFonts w:hint="eastAsia" w:ascii="宋体" w:hAnsi="宋体" w:eastAsia="宋体" w:cs="宋体"/>
          <w:highlight w:val="none"/>
        </w:rPr>
      </w:pPr>
      <w:r>
        <w:rPr>
          <w:rFonts w:hint="eastAsia" w:ascii="宋体" w:hAnsi="宋体" w:eastAsia="宋体" w:cs="宋体"/>
          <w:highlight w:val="none"/>
        </w:rPr>
        <w:t>不拥塞的网络条件下，对于以太网端到端业务，低等级业务的EIR 部分的丢包率（24h 监测）</w:t>
      </w:r>
      <w:r>
        <w:rPr>
          <w:rFonts w:hint="eastAsia" w:ascii="宋体" w:hAnsi="宋体" w:eastAsia="宋体" w:cs="宋体"/>
          <w:highlight w:val="none"/>
          <w:lang w:eastAsia="zh-CN"/>
        </w:rPr>
        <w:t>：</w:t>
      </w:r>
      <w:r>
        <w:rPr>
          <w:rFonts w:hint="eastAsia" w:ascii="宋体" w:hAnsi="宋体" w:eastAsia="宋体" w:cs="宋体"/>
          <w:highlight w:val="none"/>
        </w:rPr>
        <w:t>≤1×10</w:t>
      </w:r>
      <w:r>
        <w:rPr>
          <w:rFonts w:hint="eastAsia" w:ascii="宋体" w:hAnsi="宋体" w:eastAsia="宋体" w:cs="宋体"/>
          <w:highlight w:val="none"/>
          <w:vertAlign w:val="superscript"/>
        </w:rPr>
        <w:t>-7</w:t>
      </w:r>
      <w:r>
        <w:rPr>
          <w:rFonts w:hint="eastAsia" w:ascii="宋体" w:hAnsi="宋体" w:eastAsia="宋体" w:cs="宋体"/>
          <w:highlight w:val="none"/>
        </w:rPr>
        <w:t>。</w:t>
      </w:r>
    </w:p>
    <w:p>
      <w:pPr>
        <w:pStyle w:val="67"/>
        <w:spacing w:before="0" w:beforeLines="0" w:after="0" w:afterLines="0"/>
        <w:rPr>
          <w:rFonts w:hint="eastAsia" w:ascii="宋体" w:hAnsi="宋体" w:eastAsia="宋体" w:cs="宋体"/>
          <w:highlight w:val="none"/>
        </w:rPr>
      </w:pPr>
      <w:r>
        <w:rPr>
          <w:rFonts w:hint="eastAsia" w:ascii="宋体" w:hAnsi="宋体" w:eastAsia="宋体" w:cs="宋体"/>
          <w:b w:val="0"/>
          <w:kern w:val="2"/>
          <w:sz w:val="21"/>
          <w:highlight w:val="none"/>
          <w:lang w:val="en-US" w:eastAsia="zh-CN" w:bidi="ar-SA"/>
        </w:rPr>
        <w:t>通信光缆：</w:t>
      </w:r>
    </w:p>
    <w:p>
      <w:pPr>
        <w:pStyle w:val="176"/>
        <w:numPr>
          <w:ilvl w:val="0"/>
          <w:numId w:val="63"/>
        </w:numPr>
        <w:spacing w:beforeLines="0" w:afterLines="0"/>
        <w:rPr>
          <w:rFonts w:hint="eastAsia" w:ascii="宋体" w:hAnsi="宋体" w:eastAsia="宋体" w:cs="宋体"/>
          <w:highlight w:val="none"/>
        </w:rPr>
      </w:pPr>
      <w:r>
        <w:rPr>
          <w:rFonts w:hint="eastAsia" w:ascii="宋体" w:hAnsi="宋体" w:eastAsia="宋体" w:cs="宋体"/>
          <w:highlight w:val="none"/>
        </w:rPr>
        <w:t>通信光缆关键性能指标包括但不限于：</w:t>
      </w:r>
    </w:p>
    <w:p>
      <w:pPr>
        <w:pStyle w:val="111"/>
        <w:spacing w:beforeLines="0" w:afterLines="0"/>
        <w:rPr>
          <w:rFonts w:hint="eastAsia" w:ascii="宋体" w:hAnsi="宋体" w:eastAsia="宋体" w:cs="宋体"/>
          <w:highlight w:val="none"/>
        </w:rPr>
      </w:pPr>
      <w:r>
        <w:rPr>
          <w:rFonts w:hint="eastAsia" w:ascii="宋体" w:hAnsi="宋体" w:eastAsia="宋体" w:cs="宋体"/>
          <w:highlight w:val="none"/>
        </w:rPr>
        <w:t>光纤单点双向平均熔接损耗应小于0.05 dB，最大不应</w:t>
      </w:r>
      <w:r>
        <w:rPr>
          <w:rFonts w:hint="eastAsia" w:hAnsi="宋体" w:cs="宋体"/>
          <w:highlight w:val="none"/>
          <w:lang w:val="en-US" w:eastAsia="zh-CN"/>
        </w:rPr>
        <w:t>大于</w:t>
      </w:r>
      <w:r>
        <w:rPr>
          <w:rFonts w:hint="eastAsia" w:ascii="宋体" w:hAnsi="宋体" w:eastAsia="宋体" w:cs="宋体"/>
          <w:highlight w:val="none"/>
        </w:rPr>
        <w:t>0.1 dB，全程大于0.05 dB 接头比例应小于10%。</w:t>
      </w:r>
    </w:p>
    <w:p>
      <w:pPr>
        <w:pStyle w:val="111"/>
        <w:spacing w:beforeLines="0" w:afterLines="0"/>
        <w:rPr>
          <w:rFonts w:hint="eastAsia" w:ascii="宋体" w:hAnsi="宋体" w:eastAsia="宋体" w:cs="宋体"/>
          <w:highlight w:val="none"/>
        </w:rPr>
      </w:pPr>
      <w:r>
        <w:rPr>
          <w:rFonts w:hint="eastAsia" w:ascii="宋体" w:hAnsi="宋体" w:eastAsia="宋体" w:cs="宋体"/>
          <w:highlight w:val="none"/>
        </w:rPr>
        <w:t>光缆接续盒密封性能良好、体积小且易于放置和保护。</w:t>
      </w:r>
    </w:p>
    <w:p>
      <w:pPr>
        <w:pStyle w:val="67"/>
        <w:spacing w:before="0" w:beforeLines="0" w:after="0" w:afterLines="0"/>
        <w:rPr>
          <w:rFonts w:hint="eastAsia" w:ascii="宋体" w:hAnsi="宋体" w:eastAsia="宋体" w:cs="宋体"/>
          <w:highlight w:val="none"/>
        </w:rPr>
      </w:pPr>
      <w:r>
        <w:rPr>
          <w:rFonts w:hint="eastAsia" w:ascii="宋体" w:hAnsi="宋体" w:eastAsia="宋体" w:cs="宋体"/>
          <w:b w:val="0"/>
          <w:kern w:val="2"/>
          <w:sz w:val="21"/>
          <w:highlight w:val="none"/>
          <w:lang w:val="en-US" w:eastAsia="zh-CN" w:bidi="ar-SA"/>
        </w:rPr>
        <w:t>通信电源：</w:t>
      </w:r>
    </w:p>
    <w:p>
      <w:pPr>
        <w:pStyle w:val="176"/>
        <w:numPr>
          <w:ilvl w:val="0"/>
          <w:numId w:val="64"/>
        </w:numPr>
        <w:rPr>
          <w:rFonts w:hint="eastAsia" w:ascii="宋体" w:hAnsi="宋体" w:eastAsia="宋体" w:cs="宋体"/>
          <w:highlight w:val="none"/>
        </w:rPr>
      </w:pPr>
      <w:r>
        <w:rPr>
          <w:rFonts w:hint="eastAsia" w:ascii="宋体" w:hAnsi="宋体" w:eastAsia="宋体" w:cs="宋体"/>
          <w:highlight w:val="none"/>
        </w:rPr>
        <w:t>通信电源关键性能指标包括但不限于：</w:t>
      </w:r>
    </w:p>
    <w:p>
      <w:pPr>
        <w:pStyle w:val="111"/>
        <w:rPr>
          <w:rFonts w:hint="eastAsia" w:ascii="宋体" w:hAnsi="宋体" w:eastAsia="宋体" w:cs="宋体"/>
          <w:highlight w:val="none"/>
        </w:rPr>
      </w:pPr>
      <w:r>
        <w:rPr>
          <w:rFonts w:hint="eastAsia" w:ascii="宋体" w:hAnsi="宋体" w:eastAsia="宋体" w:cs="宋体"/>
          <w:highlight w:val="none"/>
        </w:rPr>
        <w:t>-48V 高频开关电源充电装置的稳流精度≤±1%，稳压精度≤±0.3%，电压纹波系数≤0.5%。</w:t>
      </w:r>
    </w:p>
    <w:p>
      <w:pPr>
        <w:pStyle w:val="111"/>
        <w:rPr>
          <w:rFonts w:hint="eastAsia" w:ascii="宋体" w:hAnsi="宋体" w:eastAsia="宋体" w:cs="宋体"/>
          <w:highlight w:val="none"/>
        </w:rPr>
      </w:pPr>
      <w:r>
        <w:rPr>
          <w:rFonts w:hint="eastAsia" w:ascii="宋体" w:hAnsi="宋体" w:eastAsia="宋体" w:cs="宋体"/>
          <w:highlight w:val="none"/>
        </w:rPr>
        <w:t>直流输出标称电压：-48V。</w:t>
      </w:r>
    </w:p>
    <w:p>
      <w:pPr>
        <w:pStyle w:val="111"/>
        <w:rPr>
          <w:rFonts w:hint="eastAsia" w:ascii="宋体" w:hAnsi="宋体" w:eastAsia="宋体" w:cs="宋体"/>
          <w:highlight w:val="none"/>
        </w:rPr>
      </w:pPr>
      <w:r>
        <w:rPr>
          <w:rFonts w:hint="eastAsia" w:ascii="宋体" w:hAnsi="宋体" w:eastAsia="宋体" w:cs="宋体"/>
          <w:highlight w:val="none"/>
        </w:rPr>
        <w:t>直流输出电压范围：-（42.2～57.6）V。</w:t>
      </w:r>
    </w:p>
    <w:p>
      <w:pPr>
        <w:pStyle w:val="111"/>
        <w:rPr>
          <w:rFonts w:hint="eastAsia" w:ascii="宋体" w:hAnsi="宋体" w:eastAsia="宋体" w:cs="宋体"/>
          <w:highlight w:val="none"/>
        </w:rPr>
      </w:pPr>
      <w:r>
        <w:rPr>
          <w:rFonts w:hint="eastAsia" w:ascii="宋体" w:hAnsi="宋体" w:eastAsia="宋体" w:cs="宋体"/>
          <w:highlight w:val="none"/>
        </w:rPr>
        <w:t>UPS 电源的稳压精度≤±3%；动态过程中，负荷以0～100%变化，其偏差值≤±5%，恢复时间＜20ms。</w:t>
      </w:r>
    </w:p>
    <w:p>
      <w:pPr>
        <w:pStyle w:val="107"/>
        <w:spacing w:before="120" w:after="120"/>
        <w:rPr>
          <w:rFonts w:hint="eastAsia" w:ascii="宋体" w:hAnsi="宋体" w:eastAsia="宋体" w:cs="宋体"/>
          <w:highlight w:val="none"/>
        </w:rPr>
      </w:pPr>
      <w:bookmarkStart w:id="87" w:name="_Toc12956"/>
      <w:r>
        <w:rPr>
          <w:rFonts w:hint="eastAsia"/>
          <w:highlight w:val="none"/>
          <w:lang w:val="en-US" w:eastAsia="zh-CN"/>
        </w:rPr>
        <w:t>运行评价</w:t>
      </w:r>
      <w:bookmarkEnd w:id="87"/>
    </w:p>
    <w:p>
      <w:pPr>
        <w:pStyle w:val="58"/>
        <w:rPr>
          <w:rFonts w:hint="eastAsia" w:ascii="宋体" w:hAnsi="宋体" w:eastAsia="宋体" w:cs="宋体"/>
          <w:highlight w:val="none"/>
        </w:rPr>
      </w:pPr>
      <w:r>
        <w:rPr>
          <w:rFonts w:hint="eastAsia" w:ascii="宋体" w:hAnsi="宋体" w:eastAsia="宋体" w:cs="宋体"/>
          <w:highlight w:val="none"/>
        </w:rPr>
        <w:t>运行评价主要包括通信设备事件次数、设备运行率、光缆线路运行率等。</w:t>
      </w:r>
    </w:p>
    <w:p>
      <w:pPr>
        <w:pStyle w:val="67"/>
        <w:spacing w:before="120" w:after="120"/>
        <w:rPr>
          <w:rFonts w:hint="eastAsia" w:ascii="宋体" w:hAnsi="宋体" w:eastAsia="宋体" w:cs="宋体"/>
          <w:highlight w:val="none"/>
        </w:rPr>
      </w:pPr>
      <w:r>
        <w:rPr>
          <w:rFonts w:hint="eastAsia" w:ascii="宋体" w:hAnsi="宋体" w:eastAsia="宋体" w:cs="宋体"/>
          <w:highlight w:val="none"/>
        </w:rPr>
        <w:t>通信设备事件次数</w:t>
      </w:r>
    </w:p>
    <w:p>
      <w:pPr>
        <w:pStyle w:val="67"/>
        <w:numPr>
          <w:ilvl w:val="-1"/>
          <w:numId w:val="0"/>
        </w:numPr>
        <w:spacing w:before="120" w:after="120"/>
        <w:ind w:firstLine="420"/>
        <w:rPr>
          <w:rFonts w:hint="eastAsia" w:ascii="宋体" w:hAnsi="宋体" w:eastAsia="宋体" w:cs="宋体"/>
          <w:highlight w:val="none"/>
        </w:rPr>
      </w:pPr>
      <w:r>
        <w:rPr>
          <w:rFonts w:hint="eastAsia" w:ascii="宋体" w:hAnsi="宋体" w:eastAsia="宋体" w:cs="宋体"/>
          <w:highlight w:val="none"/>
        </w:rPr>
        <w:t>统计周期内依据国家电网有限公司安全事故调查规程判定的通信设备事件次数。</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设备运行率</w:t>
      </w:r>
    </w:p>
    <w:p>
      <w:pPr>
        <w:pStyle w:val="58"/>
        <w:rPr>
          <w:rFonts w:hint="eastAsia" w:ascii="宋体" w:hAnsi="宋体" w:eastAsia="宋体" w:cs="宋体"/>
          <w:highlight w:val="none"/>
        </w:rPr>
      </w:pPr>
      <w:r>
        <w:rPr>
          <w:rFonts w:hint="eastAsia" w:ascii="宋体" w:hAnsi="宋体" w:eastAsia="宋体" w:cs="宋体"/>
          <w:highlight w:val="none"/>
        </w:rPr>
        <w:t>评价所辖设备运行水平，统计设备无故障运行时间比例，见如下公式：</w:t>
      </w:r>
    </w:p>
    <w:p>
      <w:pPr>
        <w:pStyle w:val="111"/>
        <w:numPr>
          <w:ilvl w:val="1"/>
          <w:numId w:val="0"/>
        </w:numPr>
        <w:ind w:left="0" w:firstLine="0" w:firstLineChars="0"/>
        <w:jc w:val="right"/>
        <w:rPr>
          <w:rFonts w:hint="default" w:hAnsi="宋体" w:eastAsia="宋体" w:cs="宋体"/>
          <w:highlight w:val="none"/>
          <w:lang w:val="en-US" w:eastAsia="zh-CN"/>
        </w:rPr>
      </w:pPr>
      <w:r>
        <w:rPr>
          <w:rFonts w:hint="eastAsia" w:ascii="宋体" w:hAnsi="宋体" w:eastAsia="宋体" w:cs="宋体"/>
          <w:highlight w:val="none"/>
        </w:rPr>
        <w:drawing>
          <wp:inline distT="0" distB="0" distL="114300" distR="114300">
            <wp:extent cx="1625600" cy="508000"/>
            <wp:effectExtent l="0" t="0" r="0" b="0"/>
            <wp:docPr id="4" name="图片 1"/>
            <wp:cNvGraphicFramePr/>
            <a:graphic xmlns:a="http://schemas.openxmlformats.org/drawingml/2006/main">
              <a:graphicData uri="http://schemas.openxmlformats.org/drawingml/2006/picture">
                <pic:pic xmlns:pic="http://schemas.openxmlformats.org/drawingml/2006/picture">
                  <pic:nvPicPr>
                    <pic:cNvPr id="4" name="图片 1"/>
                    <pic:cNvPicPr/>
                  </pic:nvPicPr>
                  <pic:blipFill>
                    <a:blip r:embed="rId20"/>
                    <a:stretch>
                      <a:fillRect/>
                    </a:stretch>
                  </pic:blipFill>
                  <pic:spPr>
                    <a:xfrm>
                      <a:off x="0" y="0"/>
                      <a:ext cx="1625600" cy="508000"/>
                    </a:xfrm>
                    <a:prstGeom prst="rect">
                      <a:avLst/>
                    </a:prstGeom>
                    <a:noFill/>
                    <a:ln>
                      <a:noFill/>
                    </a:ln>
                  </pic:spPr>
                </pic:pic>
              </a:graphicData>
            </a:graphic>
          </wp:inline>
        </w:drawing>
      </w:r>
      <w:r>
        <w:rPr>
          <w:rFonts w:hint="eastAsia"/>
          <w:highlight w:val="none"/>
        </w:rPr>
        <w:tab/>
      </w:r>
      <w:r>
        <w:rPr>
          <w:rFonts w:hint="eastAsia"/>
          <w:highlight w:val="none"/>
          <w:lang w:eastAsia="zh-CN"/>
        </w:rPr>
        <w:t>…………………………………</w:t>
      </w:r>
      <w:r>
        <w:rPr>
          <w:rFonts w:hint="eastAsia"/>
          <w:highlight w:val="none"/>
        </w:rPr>
        <w:t>（1）</w:t>
      </w:r>
    </w:p>
    <w:p>
      <w:pPr>
        <w:pStyle w:val="58"/>
        <w:rPr>
          <w:rFonts w:hint="eastAsia" w:ascii="宋体" w:hAnsi="宋体" w:eastAsia="宋体" w:cs="宋体"/>
          <w:highlight w:val="none"/>
        </w:rPr>
      </w:pPr>
      <w:r>
        <w:rPr>
          <w:rFonts w:hint="eastAsia" w:ascii="宋体" w:hAnsi="宋体" w:eastAsia="宋体" w:cs="宋体"/>
          <w:highlight w:val="none"/>
        </w:rPr>
        <w:t>式中：</w:t>
      </w:r>
    </w:p>
    <w:p>
      <w:pPr>
        <w:pStyle w:val="58"/>
        <w:rPr>
          <w:rFonts w:hint="default" w:ascii="宋体" w:hAnsi="宋体" w:eastAsia="宋体" w:cs="宋体"/>
          <w:highlight w:val="none"/>
          <w:lang w:val="en-US" w:eastAsia="zh-CN"/>
        </w:rPr>
      </w:pPr>
      <w:r>
        <w:rPr>
          <w:rFonts w:hint="eastAsia" w:ascii="宋体" w:hAnsi="宋体" w:eastAsia="宋体" w:cs="宋体"/>
          <w:highlight w:val="none"/>
        </w:rPr>
        <w:t>R ——设备运行率；</w:t>
      </w:r>
    </w:p>
    <w:p>
      <w:pPr>
        <w:pStyle w:val="58"/>
        <w:rPr>
          <w:rFonts w:hint="eastAsia" w:ascii="宋体" w:hAnsi="宋体" w:eastAsia="宋体" w:cs="宋体"/>
          <w:highlight w:val="none"/>
        </w:rPr>
      </w:pPr>
      <w:r>
        <w:rPr>
          <w:rFonts w:hint="eastAsia" w:ascii="宋体" w:hAnsi="宋体" w:eastAsia="宋体" w:cs="宋体"/>
          <w:highlight w:val="none"/>
        </w:rPr>
        <w:t>n ——故障设备数，单位</w:t>
      </w:r>
      <w:r>
        <w:rPr>
          <w:rFonts w:hint="eastAsia" w:ascii="宋体" w:hAnsi="宋体" w:eastAsia="宋体" w:cs="宋体"/>
          <w:highlight w:val="none"/>
          <w:lang w:eastAsia="zh-CN"/>
        </w:rPr>
        <w:t>为</w:t>
      </w:r>
      <w:r>
        <w:rPr>
          <w:rFonts w:hint="eastAsia" w:ascii="宋体" w:hAnsi="宋体" w:eastAsia="宋体" w:cs="宋体"/>
          <w:highlight w:val="none"/>
        </w:rPr>
        <w:t>套；</w:t>
      </w:r>
    </w:p>
    <w:p>
      <w:pPr>
        <w:pStyle w:val="58"/>
        <w:rPr>
          <w:rFonts w:hint="eastAsia" w:ascii="宋体" w:hAnsi="宋体" w:eastAsia="宋体" w:cs="宋体"/>
          <w:highlight w:val="none"/>
        </w:rPr>
      </w:pPr>
      <w:r>
        <w:rPr>
          <w:rFonts w:hint="eastAsia" w:ascii="宋体" w:hAnsi="宋体" w:eastAsia="宋体" w:cs="宋体"/>
          <w:highlight w:val="none"/>
        </w:rPr>
        <w:t>t ——故障历时，单位</w:t>
      </w:r>
      <w:r>
        <w:rPr>
          <w:rFonts w:hint="eastAsia" w:ascii="宋体" w:hAnsi="宋体" w:eastAsia="宋体" w:cs="宋体"/>
          <w:highlight w:val="none"/>
          <w:lang w:eastAsia="zh-CN"/>
        </w:rPr>
        <w:t>为</w:t>
      </w:r>
      <w:r>
        <w:rPr>
          <w:rFonts w:hint="eastAsia" w:ascii="宋体" w:hAnsi="宋体" w:eastAsia="宋体" w:cs="宋体"/>
          <w:highlight w:val="none"/>
        </w:rPr>
        <w:t>分钟；</w:t>
      </w:r>
    </w:p>
    <w:p>
      <w:pPr>
        <w:pStyle w:val="58"/>
        <w:rPr>
          <w:rFonts w:hint="eastAsia" w:ascii="宋体" w:hAnsi="宋体" w:eastAsia="宋体" w:cs="宋体"/>
          <w:highlight w:val="none"/>
        </w:rPr>
      </w:pPr>
      <w:r>
        <w:rPr>
          <w:rFonts w:hint="eastAsia" w:ascii="宋体" w:hAnsi="宋体" w:eastAsia="宋体" w:cs="宋体"/>
          <w:highlight w:val="none"/>
        </w:rPr>
        <w:t>N ——在运设备总数，单位</w:t>
      </w:r>
      <w:r>
        <w:rPr>
          <w:rFonts w:hint="eastAsia" w:ascii="宋体" w:hAnsi="宋体" w:eastAsia="宋体" w:cs="宋体"/>
          <w:highlight w:val="none"/>
          <w:lang w:eastAsia="zh-CN"/>
        </w:rPr>
        <w:t>为</w:t>
      </w:r>
      <w:r>
        <w:rPr>
          <w:rFonts w:hint="eastAsia" w:ascii="宋体" w:hAnsi="宋体" w:eastAsia="宋体" w:cs="宋体"/>
          <w:highlight w:val="none"/>
        </w:rPr>
        <w:t>套；</w:t>
      </w:r>
    </w:p>
    <w:p>
      <w:pPr>
        <w:pStyle w:val="58"/>
        <w:rPr>
          <w:rFonts w:hint="eastAsia" w:ascii="宋体" w:hAnsi="宋体" w:eastAsia="宋体" w:cs="宋体"/>
          <w:highlight w:val="none"/>
          <w:lang w:val="en-US" w:eastAsia="zh-CN"/>
        </w:rPr>
      </w:pPr>
      <w:r>
        <w:rPr>
          <w:rFonts w:hint="eastAsia" w:ascii="宋体" w:hAnsi="宋体" w:eastAsia="宋体" w:cs="宋体"/>
          <w:highlight w:val="none"/>
        </w:rPr>
        <w:t>T ——统计周期，单位</w:t>
      </w:r>
      <w:r>
        <w:rPr>
          <w:rFonts w:hint="eastAsia" w:ascii="宋体" w:hAnsi="宋体" w:eastAsia="宋体" w:cs="宋体"/>
          <w:highlight w:val="none"/>
          <w:lang w:eastAsia="zh-CN"/>
        </w:rPr>
        <w:t>为</w:t>
      </w:r>
      <w:r>
        <w:rPr>
          <w:rFonts w:hint="eastAsia" w:ascii="宋体" w:hAnsi="宋体" w:eastAsia="宋体" w:cs="宋体"/>
          <w:highlight w:val="none"/>
        </w:rPr>
        <w:t>分钟。</w:t>
      </w:r>
    </w:p>
    <w:p>
      <w:pPr>
        <w:pStyle w:val="67"/>
        <w:spacing w:before="120" w:after="120"/>
        <w:rPr>
          <w:rFonts w:hint="eastAsia" w:ascii="宋体" w:hAnsi="宋体" w:eastAsia="宋体" w:cs="宋体"/>
          <w:highlight w:val="none"/>
        </w:rPr>
      </w:pPr>
      <w:r>
        <w:rPr>
          <w:rFonts w:hint="eastAsia" w:ascii="黑体" w:hAnsi="Times New Roman" w:eastAsia="黑体" w:cs="Times New Roman"/>
          <w:highlight w:val="none"/>
          <w:lang w:val="en-US" w:eastAsia="zh-CN"/>
        </w:rPr>
        <w:t>光缆线路运行率</w:t>
      </w:r>
    </w:p>
    <w:p>
      <w:pPr>
        <w:pStyle w:val="58"/>
        <w:rPr>
          <w:rFonts w:hint="eastAsia" w:ascii="宋体" w:hAnsi="宋体" w:eastAsia="宋体" w:cs="宋体"/>
          <w:highlight w:val="none"/>
        </w:rPr>
      </w:pPr>
      <w:r>
        <w:rPr>
          <w:rFonts w:hint="eastAsia" w:ascii="宋体" w:hAnsi="宋体" w:eastAsia="宋体" w:cs="宋体"/>
          <w:highlight w:val="none"/>
        </w:rPr>
        <w:t>评价所辖光缆线路运行水平，统计光缆线路无故障运行时间比例，见如下公式：</w:t>
      </w:r>
    </w:p>
    <w:p>
      <w:pPr>
        <w:pStyle w:val="58"/>
        <w:tabs>
          <w:tab w:val="right" w:leader="middleDot" w:pos="2755"/>
          <w:tab w:val="center" w:pos="5366"/>
        </w:tabs>
        <w:ind w:left="839"/>
        <w:jc w:val="right"/>
        <w:rPr>
          <w:rFonts w:hint="eastAsia" w:ascii="宋体" w:hAnsi="宋体" w:eastAsia="宋体" w:cs="宋体"/>
          <w:b w:val="0"/>
          <w:kern w:val="2"/>
          <w:sz w:val="21"/>
          <w:highlight w:val="none"/>
          <w:lang w:val="en-US" w:eastAsia="zh-CN" w:bidi="ar-SA"/>
        </w:rPr>
      </w:pPr>
      <w:r>
        <w:rPr>
          <w:rFonts w:hint="eastAsia" w:ascii="宋体" w:hAnsi="宋体" w:eastAsia="宋体" w:cs="宋体"/>
          <w:sz w:val="21"/>
          <w:highlight w:val="none"/>
          <w:lang w:val="en-US" w:eastAsia="zh-CN" w:bidi="ar-SA"/>
        </w:rPr>
        <w:drawing>
          <wp:inline distT="0" distB="0" distL="114300" distR="114300">
            <wp:extent cx="1651000" cy="508000"/>
            <wp:effectExtent l="0" t="0" r="0" b="0"/>
            <wp:docPr id="8" name="图片 2"/>
            <wp:cNvGraphicFramePr/>
            <a:graphic xmlns:a="http://schemas.openxmlformats.org/drawingml/2006/main">
              <a:graphicData uri="http://schemas.openxmlformats.org/drawingml/2006/picture">
                <pic:pic xmlns:pic="http://schemas.openxmlformats.org/drawingml/2006/picture">
                  <pic:nvPicPr>
                    <pic:cNvPr id="8" name="图片 2"/>
                    <pic:cNvPicPr/>
                  </pic:nvPicPr>
                  <pic:blipFill>
                    <a:blip r:embed="rId21"/>
                    <a:stretch>
                      <a:fillRect/>
                    </a:stretch>
                  </pic:blipFill>
                  <pic:spPr>
                    <a:xfrm>
                      <a:off x="0" y="0"/>
                      <a:ext cx="1651000" cy="508000"/>
                    </a:xfrm>
                    <a:prstGeom prst="rect">
                      <a:avLst/>
                    </a:prstGeom>
                    <a:noFill/>
                    <a:ln>
                      <a:noFill/>
                    </a:ln>
                  </pic:spPr>
                </pic:pic>
              </a:graphicData>
            </a:graphic>
          </wp:inline>
        </w:drawing>
      </w:r>
      <w:r>
        <w:rPr>
          <w:rFonts w:hint="eastAsia"/>
          <w:highlight w:val="none"/>
          <w:lang w:eastAsia="zh-CN"/>
        </w:rPr>
        <w:t>………………………………………</w:t>
      </w:r>
      <w:r>
        <w:rPr>
          <w:rFonts w:hint="eastAsia" w:hAnsi="宋体" w:cs="宋体"/>
          <w:sz w:val="21"/>
          <w:highlight w:val="none"/>
          <w:lang w:val="en-US" w:eastAsia="zh-CN" w:bidi="ar-SA"/>
        </w:rPr>
        <w:t>（2）</w:t>
      </w:r>
    </w:p>
    <w:p>
      <w:pPr>
        <w:pStyle w:val="58"/>
        <w:rPr>
          <w:rFonts w:hint="eastAsia" w:ascii="宋体" w:hAnsi="宋体" w:eastAsia="宋体" w:cs="宋体"/>
          <w:highlight w:val="none"/>
        </w:rPr>
      </w:pPr>
      <w:r>
        <w:rPr>
          <w:rFonts w:hint="eastAsia" w:ascii="宋体" w:hAnsi="宋体" w:eastAsia="宋体" w:cs="宋体"/>
          <w:highlight w:val="none"/>
        </w:rPr>
        <w:t>式中：</w:t>
      </w:r>
    </w:p>
    <w:p>
      <w:pPr>
        <w:pStyle w:val="58"/>
        <w:rPr>
          <w:rFonts w:hint="eastAsia" w:ascii="宋体" w:hAnsi="宋体" w:eastAsia="宋体" w:cs="宋体"/>
          <w:highlight w:val="none"/>
        </w:rPr>
      </w:pPr>
      <w:r>
        <w:rPr>
          <w:rFonts w:hint="eastAsia" w:ascii="宋体" w:hAnsi="宋体" w:eastAsia="宋体" w:cs="宋体"/>
          <w:highlight w:val="none"/>
        </w:rPr>
        <w:t>R ——光缆线路运行率；</w:t>
      </w:r>
    </w:p>
    <w:p>
      <w:pPr>
        <w:pStyle w:val="58"/>
        <w:rPr>
          <w:rFonts w:hint="eastAsia" w:ascii="宋体" w:hAnsi="宋体" w:eastAsia="宋体" w:cs="宋体"/>
          <w:highlight w:val="none"/>
        </w:rPr>
      </w:pPr>
      <w:r>
        <w:rPr>
          <w:rFonts w:hint="eastAsia" w:ascii="宋体" w:hAnsi="宋体" w:eastAsia="宋体" w:cs="宋体"/>
          <w:highlight w:val="none"/>
        </w:rPr>
        <w:t>n ——故障光缆条数，单位</w:t>
      </w:r>
      <w:r>
        <w:rPr>
          <w:rFonts w:hint="eastAsia" w:hAnsi="宋体" w:cs="宋体"/>
          <w:highlight w:val="none"/>
          <w:lang w:eastAsia="zh-CN"/>
        </w:rPr>
        <w:t>为</w:t>
      </w:r>
      <w:r>
        <w:rPr>
          <w:rFonts w:hint="eastAsia" w:ascii="宋体" w:hAnsi="宋体" w:eastAsia="宋体" w:cs="宋体"/>
          <w:highlight w:val="none"/>
        </w:rPr>
        <w:t>条；</w:t>
      </w:r>
    </w:p>
    <w:p>
      <w:pPr>
        <w:pStyle w:val="58"/>
        <w:rPr>
          <w:rFonts w:hint="eastAsia" w:ascii="宋体" w:hAnsi="宋体" w:eastAsia="宋体" w:cs="宋体"/>
          <w:highlight w:val="none"/>
        </w:rPr>
      </w:pPr>
      <w:r>
        <w:rPr>
          <w:rFonts w:hint="eastAsia" w:ascii="宋体" w:hAnsi="宋体" w:eastAsia="宋体" w:cs="宋体"/>
          <w:highlight w:val="none"/>
        </w:rPr>
        <w:t>t ——故障历时，单位</w:t>
      </w:r>
      <w:r>
        <w:rPr>
          <w:rFonts w:hint="eastAsia" w:hAnsi="宋体" w:cs="宋体"/>
          <w:highlight w:val="none"/>
          <w:lang w:eastAsia="zh-CN"/>
        </w:rPr>
        <w:t>为</w:t>
      </w:r>
      <w:r>
        <w:rPr>
          <w:rFonts w:hint="eastAsia" w:ascii="宋体" w:hAnsi="宋体" w:eastAsia="宋体" w:cs="宋体"/>
          <w:highlight w:val="none"/>
        </w:rPr>
        <w:t>分钟；</w:t>
      </w:r>
    </w:p>
    <w:p>
      <w:pPr>
        <w:pStyle w:val="58"/>
        <w:rPr>
          <w:rFonts w:hint="eastAsia" w:ascii="宋体" w:hAnsi="宋体" w:eastAsia="宋体" w:cs="宋体"/>
          <w:highlight w:val="none"/>
        </w:rPr>
      </w:pPr>
      <w:r>
        <w:rPr>
          <w:rFonts w:hint="eastAsia" w:ascii="宋体" w:hAnsi="宋体" w:eastAsia="宋体" w:cs="宋体"/>
          <w:highlight w:val="none"/>
        </w:rPr>
        <w:t>N ——在运光缆总条数，单位</w:t>
      </w:r>
      <w:r>
        <w:rPr>
          <w:rFonts w:hint="eastAsia" w:ascii="宋体" w:hAnsi="宋体" w:eastAsia="宋体" w:cs="宋体"/>
          <w:highlight w:val="none"/>
          <w:lang w:eastAsia="zh-CN"/>
        </w:rPr>
        <w:t>为</w:t>
      </w:r>
      <w:r>
        <w:rPr>
          <w:rFonts w:hint="eastAsia" w:ascii="宋体" w:hAnsi="宋体" w:eastAsia="宋体" w:cs="宋体"/>
          <w:highlight w:val="none"/>
        </w:rPr>
        <w:t>条；</w:t>
      </w:r>
    </w:p>
    <w:p>
      <w:pPr>
        <w:pStyle w:val="58"/>
        <w:rPr>
          <w:rFonts w:hint="eastAsia" w:ascii="宋体" w:hAnsi="宋体" w:eastAsia="宋体" w:cs="宋体"/>
          <w:highlight w:val="none"/>
        </w:rPr>
      </w:pPr>
      <w:r>
        <w:rPr>
          <w:rFonts w:hint="eastAsia" w:ascii="宋体" w:hAnsi="宋体" w:eastAsia="宋体" w:cs="宋体"/>
          <w:highlight w:val="none"/>
        </w:rPr>
        <w:t>T ——统计周期，单位</w:t>
      </w:r>
      <w:r>
        <w:rPr>
          <w:rFonts w:hint="eastAsia" w:ascii="宋体" w:hAnsi="宋体" w:eastAsia="宋体" w:cs="宋体"/>
          <w:highlight w:val="none"/>
          <w:lang w:eastAsia="zh-CN"/>
        </w:rPr>
        <w:t>为</w:t>
      </w:r>
      <w:r>
        <w:rPr>
          <w:rFonts w:hint="eastAsia" w:ascii="宋体" w:hAnsi="宋体" w:eastAsia="宋体" w:cs="宋体"/>
          <w:highlight w:val="none"/>
        </w:rPr>
        <w:t>分钟。</w:t>
      </w:r>
    </w:p>
    <w:p>
      <w:pPr>
        <w:pStyle w:val="181"/>
        <w:rPr>
          <w:vanish w:val="0"/>
          <w:highlight w:val="none"/>
        </w:rPr>
      </w:pPr>
      <w:r>
        <w:rPr>
          <w:rFonts w:hint="eastAsia" w:ascii="宋体" w:hAnsi="宋体" w:eastAsia="宋体" w:cs="宋体"/>
          <w:highlight w:val="none"/>
        </w:rPr>
        <w:t>直接连接两个通信站的任意一条光缆按照一条光缆统计。</w:t>
      </w:r>
      <w:bookmarkStart w:id="88" w:name="BookMark5"/>
    </w:p>
    <w:p>
      <w:pPr>
        <w:pStyle w:val="201"/>
        <w:spacing w:line="240" w:lineRule="auto"/>
        <w:rPr>
          <w:vanish w:val="0"/>
          <w:highlight w:val="none"/>
        </w:rPr>
      </w:pPr>
    </w:p>
    <w:bookmarkEnd w:id="88"/>
    <w:p>
      <w:pPr>
        <w:pStyle w:val="58"/>
        <w:ind w:firstLine="0" w:firstLineChars="0"/>
        <w:jc w:val="center"/>
        <w:rPr>
          <w:rFonts w:hint="eastAsia"/>
          <w:highlight w:val="none"/>
        </w:rPr>
      </w:pPr>
      <w:bookmarkStart w:id="89" w:name="BookMark8"/>
      <w:r>
        <w:rPr>
          <w:rFonts w:hint="eastAsia"/>
          <w:highlight w:val="none"/>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pStyle w:val="58"/>
        <w:rPr>
          <w:rFonts w:hint="eastAsia"/>
          <w:highlight w:val="none"/>
        </w:rPr>
      </w:pPr>
    </w:p>
    <w:p>
      <w:pPr>
        <w:spacing w:line="240" w:lineRule="auto"/>
        <w:rPr>
          <w:highlight w:val="none"/>
        </w:rPr>
      </w:pPr>
    </w:p>
    <w:sectPr>
      <w:headerReference r:id="rId15" w:type="default"/>
      <w:footerReference r:id="rId17" w:type="default"/>
      <w:headerReference r:id="rId16" w:type="even"/>
      <w:footerReference r:id="rId18" w:type="even"/>
      <w:pgSz w:w="11906" w:h="16838"/>
      <w:pgMar w:top="2410"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T/CPIA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T/CPIA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T/CPIA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T/CPIA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T/CPIA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T/CPIA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05DC48"/>
    <w:multiLevelType w:val="multilevel"/>
    <w:tmpl w:val="CE05DC48"/>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F8F33490"/>
    <w:multiLevelType w:val="singleLevel"/>
    <w:tmpl w:val="F8F33490"/>
    <w:lvl w:ilvl="0" w:tentative="0">
      <w:start w:val="1"/>
      <w:numFmt w:val="decimalEnclosedCircleChinese"/>
      <w:suff w:val="nothing"/>
      <w:lvlText w:val="%1　"/>
      <w:lvlJc w:val="left"/>
      <w:pPr>
        <w:ind w:left="1134" w:leftChars="0" w:firstLine="0" w:firstLineChars="0"/>
      </w:pPr>
      <w:rPr>
        <w:rFonts w:hint="eastAsia" w:ascii="宋体" w:hAnsi="宋体" w:eastAsia="宋体" w:cs="宋体"/>
      </w:rPr>
    </w:lvl>
  </w:abstractNum>
  <w:abstractNum w:abstractNumId="2">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B17432B"/>
    <w:multiLevelType w:val="singleLevel"/>
    <w:tmpl w:val="2B17432B"/>
    <w:lvl w:ilvl="0" w:tentative="0">
      <w:start w:val="1"/>
      <w:numFmt w:val="decimalEnclosedCircleChinese"/>
      <w:suff w:val="nothing"/>
      <w:lvlText w:val="%1　"/>
      <w:lvlJc w:val="left"/>
      <w:pPr>
        <w:ind w:left="1134" w:leftChars="0" w:firstLine="0" w:firstLineChars="0"/>
      </w:pPr>
      <w:rPr>
        <w:rFonts w:hint="eastAsia"/>
      </w:rPr>
    </w:lvl>
  </w:abstractNum>
  <w:abstractNum w:abstractNumId="13">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6E7BB8"/>
    <w:multiLevelType w:val="multilevel"/>
    <w:tmpl w:val="656E7BB8"/>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240"/>
      <w:lvlText w:val="%1%2"/>
      <w:lvlJc w:val="left"/>
      <w:pPr>
        <w:tabs>
          <w:tab w:val="left" w:pos="360"/>
        </w:tabs>
        <w:ind w:left="0" w:firstLine="0"/>
      </w:pPr>
      <w:rPr>
        <w:rFonts w:hint="eastAsia" w:ascii="黑体" w:hAnsi="Times New Roman" w:eastAsia="黑体"/>
        <w:b/>
        <w:i w:val="0"/>
        <w:sz w:val="20"/>
      </w:rPr>
    </w:lvl>
    <w:lvl w:ilvl="2" w:tentative="0">
      <w:start w:val="1"/>
      <w:numFmt w:val="decimal"/>
      <w:pStyle w:val="241"/>
      <w:lvlText w:val="%1%2.%3"/>
      <w:lvlJc w:val="left"/>
      <w:pPr>
        <w:tabs>
          <w:tab w:val="left" w:pos="862"/>
        </w:tabs>
        <w:ind w:left="142" w:firstLine="0"/>
      </w:pPr>
      <w:rPr>
        <w:rFonts w:hint="eastAsia" w:ascii="黑体" w:hAnsi="Times New Roman" w:eastAsia="黑体"/>
        <w:b/>
        <w:i w:val="0"/>
        <w:sz w:val="21"/>
      </w:rPr>
    </w:lvl>
    <w:lvl w:ilvl="3" w:tentative="0">
      <w:start w:val="1"/>
      <w:numFmt w:val="decimal"/>
      <w:pStyle w:val="242"/>
      <w:lvlText w:val="%1%2.%3.%4"/>
      <w:lvlJc w:val="left"/>
      <w:pPr>
        <w:tabs>
          <w:tab w:val="left" w:pos="720"/>
        </w:tabs>
        <w:ind w:left="0" w:firstLine="0"/>
      </w:pPr>
      <w:rPr>
        <w:rFonts w:hint="eastAsia" w:ascii="黑体" w:hAnsi="Times New Roman" w:eastAsia="黑体"/>
        <w:b/>
        <w:i w:val="0"/>
        <w:sz w:val="21"/>
      </w:rPr>
    </w:lvl>
    <w:lvl w:ilvl="4" w:tentative="0">
      <w:start w:val="1"/>
      <w:numFmt w:val="decimal"/>
      <w:pStyle w:val="244"/>
      <w:lvlText w:val="%2.%3.%4.%5"/>
      <w:lvlJc w:val="left"/>
      <w:pPr>
        <w:tabs>
          <w:tab w:val="left" w:pos="1080"/>
        </w:tabs>
        <w:ind w:left="0" w:firstLine="0"/>
      </w:pPr>
      <w:rPr>
        <w:rFonts w:hint="eastAsia" w:ascii="黑体" w:hAnsi="Times New Roman" w:eastAsia="黑体"/>
        <w:b/>
        <w:i w:val="0"/>
        <w:sz w:val="21"/>
      </w:rPr>
    </w:lvl>
    <w:lvl w:ilvl="5" w:tentative="0">
      <w:start w:val="1"/>
      <w:numFmt w:val="decimal"/>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26">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1"/>
      <w:lvlText w:val="%1——"/>
      <w:lvlJc w:val="left"/>
      <w:pPr>
        <w:tabs>
          <w:tab w:val="left" w:pos="330"/>
        </w:tabs>
        <w:ind w:left="948"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8"/>
  </w:num>
  <w:num w:numId="12">
    <w:abstractNumId w:val="14"/>
  </w:num>
  <w:num w:numId="13">
    <w:abstractNumId w:val="0"/>
  </w:num>
  <w:num w:numId="14">
    <w:abstractNumId w:val="9"/>
  </w:num>
  <w:num w:numId="15">
    <w:abstractNumId w:val="21"/>
  </w:num>
  <w:num w:numId="16">
    <w:abstractNumId w:val="23"/>
  </w:num>
  <w:num w:numId="17">
    <w:abstractNumId w:val="19"/>
  </w:num>
  <w:num w:numId="18">
    <w:abstractNumId w:val="32"/>
  </w:num>
  <w:num w:numId="19">
    <w:abstractNumId w:val="17"/>
  </w:num>
  <w:num w:numId="20">
    <w:abstractNumId w:val="3"/>
  </w:num>
  <w:num w:numId="21">
    <w:abstractNumId w:val="13"/>
  </w:num>
  <w:num w:numId="22">
    <w:abstractNumId w:val="33"/>
  </w:num>
  <w:num w:numId="23">
    <w:abstractNumId w:val="22"/>
  </w:num>
  <w:num w:numId="24">
    <w:abstractNumId w:val="8"/>
  </w:num>
  <w:num w:numId="25">
    <w:abstractNumId w:val="29"/>
  </w:num>
  <w:num w:numId="26">
    <w:abstractNumId w:val="31"/>
  </w:num>
  <w:num w:numId="27">
    <w:abstractNumId w:val="4"/>
  </w:num>
  <w:num w:numId="28">
    <w:abstractNumId w:val="6"/>
  </w:num>
  <w:num w:numId="29">
    <w:abstractNumId w:val="16"/>
  </w:num>
  <w:num w:numId="30">
    <w:abstractNumId w:val="27"/>
  </w:num>
  <w:num w:numId="31">
    <w:abstractNumId w:val="24"/>
  </w:num>
  <w:num w:numId="32">
    <w:abstractNumId w:val="25"/>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1"/>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5DA5"/>
    <w:rsid w:val="000F67E9"/>
    <w:rsid w:val="00104926"/>
    <w:rsid w:val="0010674F"/>
    <w:rsid w:val="00113B1E"/>
    <w:rsid w:val="0011711C"/>
    <w:rsid w:val="00124E4F"/>
    <w:rsid w:val="001260B7"/>
    <w:rsid w:val="001265CB"/>
    <w:rsid w:val="001321C6"/>
    <w:rsid w:val="001325C4"/>
    <w:rsid w:val="00133010"/>
    <w:rsid w:val="001338EE"/>
    <w:rsid w:val="00133AAE"/>
    <w:rsid w:val="00135323"/>
    <w:rsid w:val="001356C4"/>
    <w:rsid w:val="001363B5"/>
    <w:rsid w:val="00137565"/>
    <w:rsid w:val="00141114"/>
    <w:rsid w:val="00142969"/>
    <w:rsid w:val="001446C2"/>
    <w:rsid w:val="001457E7"/>
    <w:rsid w:val="00145D9D"/>
    <w:rsid w:val="00146388"/>
    <w:rsid w:val="001529E5"/>
    <w:rsid w:val="00152FB3"/>
    <w:rsid w:val="00153C7E"/>
    <w:rsid w:val="00153DB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5E2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0A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2A"/>
    <w:rsid w:val="002A1260"/>
    <w:rsid w:val="002A1589"/>
    <w:rsid w:val="002A1608"/>
    <w:rsid w:val="002A25DC"/>
    <w:rsid w:val="002A3AAB"/>
    <w:rsid w:val="002A4CEA"/>
    <w:rsid w:val="002A5977"/>
    <w:rsid w:val="002A5A13"/>
    <w:rsid w:val="002A757F"/>
    <w:rsid w:val="002A7F44"/>
    <w:rsid w:val="002B0C40"/>
    <w:rsid w:val="002B1966"/>
    <w:rsid w:val="002B4508"/>
    <w:rsid w:val="002B53EB"/>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C2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3A4"/>
    <w:rsid w:val="005220EC"/>
    <w:rsid w:val="00523F95"/>
    <w:rsid w:val="00524D65"/>
    <w:rsid w:val="00525B16"/>
    <w:rsid w:val="00533D04"/>
    <w:rsid w:val="00534804"/>
    <w:rsid w:val="00534BDF"/>
    <w:rsid w:val="005354EA"/>
    <w:rsid w:val="0053585F"/>
    <w:rsid w:val="00535EC4"/>
    <w:rsid w:val="00535ED9"/>
    <w:rsid w:val="0053692B"/>
    <w:rsid w:val="005414C9"/>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47B"/>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5F7"/>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A7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4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305"/>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808"/>
    <w:rsid w:val="00B62B58"/>
    <w:rsid w:val="00B65149"/>
    <w:rsid w:val="00B66567"/>
    <w:rsid w:val="00B66F52"/>
    <w:rsid w:val="00B66FE5"/>
    <w:rsid w:val="00B67C9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616"/>
    <w:rsid w:val="00CB0BA2"/>
    <w:rsid w:val="00CB1A42"/>
    <w:rsid w:val="00CB1B0C"/>
    <w:rsid w:val="00CB2C0B"/>
    <w:rsid w:val="00CB517D"/>
    <w:rsid w:val="00CC038D"/>
    <w:rsid w:val="00CC08DB"/>
    <w:rsid w:val="00CC35A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82E"/>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507"/>
    <w:rsid w:val="00DD57EE"/>
    <w:rsid w:val="00DD6BCC"/>
    <w:rsid w:val="00DE0A4B"/>
    <w:rsid w:val="00DE2410"/>
    <w:rsid w:val="00DE2939"/>
    <w:rsid w:val="00DE6E81"/>
    <w:rsid w:val="00DE703F"/>
    <w:rsid w:val="00DE7595"/>
    <w:rsid w:val="00DF1961"/>
    <w:rsid w:val="00DF44DE"/>
    <w:rsid w:val="00E01138"/>
    <w:rsid w:val="00E01AC2"/>
    <w:rsid w:val="00E02DFB"/>
    <w:rsid w:val="00E030F9"/>
    <w:rsid w:val="00E0311A"/>
    <w:rsid w:val="00E03138"/>
    <w:rsid w:val="00E06404"/>
    <w:rsid w:val="00E11A85"/>
    <w:rsid w:val="00E12495"/>
    <w:rsid w:val="00E15236"/>
    <w:rsid w:val="00E15CCD"/>
    <w:rsid w:val="00E202EF"/>
    <w:rsid w:val="00E210B5"/>
    <w:rsid w:val="00E2552F"/>
    <w:rsid w:val="00E25C52"/>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25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6F34"/>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187"/>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566D5"/>
    <w:rsid w:val="039270A7"/>
    <w:rsid w:val="07482466"/>
    <w:rsid w:val="0A2B613D"/>
    <w:rsid w:val="0AD61C2B"/>
    <w:rsid w:val="0D5631EC"/>
    <w:rsid w:val="0D5B4016"/>
    <w:rsid w:val="0E97566E"/>
    <w:rsid w:val="0EEE517C"/>
    <w:rsid w:val="11A7084A"/>
    <w:rsid w:val="12316097"/>
    <w:rsid w:val="13FB7296"/>
    <w:rsid w:val="14365F38"/>
    <w:rsid w:val="16D649CD"/>
    <w:rsid w:val="19993C86"/>
    <w:rsid w:val="19CF1236"/>
    <w:rsid w:val="1E0B4354"/>
    <w:rsid w:val="1F6630DB"/>
    <w:rsid w:val="1FA44B19"/>
    <w:rsid w:val="1FB161E5"/>
    <w:rsid w:val="1FD75AF5"/>
    <w:rsid w:val="20506B91"/>
    <w:rsid w:val="209070CD"/>
    <w:rsid w:val="225D32FD"/>
    <w:rsid w:val="251D4DD3"/>
    <w:rsid w:val="29CD5156"/>
    <w:rsid w:val="2A3B3AF4"/>
    <w:rsid w:val="2C047C95"/>
    <w:rsid w:val="2CE251A7"/>
    <w:rsid w:val="2E3F5A55"/>
    <w:rsid w:val="2E7524E1"/>
    <w:rsid w:val="2FBE4A30"/>
    <w:rsid w:val="3097543A"/>
    <w:rsid w:val="313256B9"/>
    <w:rsid w:val="31B616D8"/>
    <w:rsid w:val="326018F8"/>
    <w:rsid w:val="32720159"/>
    <w:rsid w:val="39C813AB"/>
    <w:rsid w:val="3E4B73F4"/>
    <w:rsid w:val="413C3725"/>
    <w:rsid w:val="451071E6"/>
    <w:rsid w:val="46FB6075"/>
    <w:rsid w:val="490D6025"/>
    <w:rsid w:val="49BA238D"/>
    <w:rsid w:val="4C953A4C"/>
    <w:rsid w:val="4E183F18"/>
    <w:rsid w:val="535E7564"/>
    <w:rsid w:val="536D2181"/>
    <w:rsid w:val="55640273"/>
    <w:rsid w:val="570870D8"/>
    <w:rsid w:val="57601EDE"/>
    <w:rsid w:val="57792B50"/>
    <w:rsid w:val="577B5A7F"/>
    <w:rsid w:val="5B643E3D"/>
    <w:rsid w:val="5C755927"/>
    <w:rsid w:val="5D7F0544"/>
    <w:rsid w:val="5DDC5458"/>
    <w:rsid w:val="5FC97768"/>
    <w:rsid w:val="638C2104"/>
    <w:rsid w:val="653B1E3D"/>
    <w:rsid w:val="68A67238"/>
    <w:rsid w:val="68A76436"/>
    <w:rsid w:val="6D287A99"/>
    <w:rsid w:val="6D420E87"/>
    <w:rsid w:val="6D805604"/>
    <w:rsid w:val="71650598"/>
    <w:rsid w:val="71BC73A7"/>
    <w:rsid w:val="72A005E8"/>
    <w:rsid w:val="74961AFE"/>
    <w:rsid w:val="779A61B1"/>
    <w:rsid w:val="77BB0967"/>
    <w:rsid w:val="7A163A78"/>
    <w:rsid w:val="7A6A64B6"/>
    <w:rsid w:val="7AD435B1"/>
    <w:rsid w:val="7E7F1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next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link w:val="23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link w:val="239"/>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link w:val="235"/>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wrap="around"/>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link w:val="237"/>
    <w:qFormat/>
    <w:uiPriority w:val="0"/>
    <w:pPr>
      <w:ind w:left="811" w:firstLine="0" w:firstLineChars="0"/>
    </w:pPr>
    <w:rPr>
      <w:sz w:val="18"/>
    </w:rPr>
  </w:style>
  <w:style w:type="paragraph" w:customStyle="1" w:styleId="208">
    <w:name w:val="标准文件_注X后"/>
    <w:basedOn w:val="58"/>
    <w:link w:val="236"/>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段 Char"/>
    <w:link w:val="233"/>
    <w:qFormat/>
    <w:uiPriority w:val="0"/>
    <w:rPr>
      <w:rFonts w:ascii="宋体"/>
      <w:sz w:val="21"/>
    </w:rPr>
  </w:style>
  <w:style w:type="paragraph" w:customStyle="1" w:styleId="233">
    <w:name w:val="段"/>
    <w:link w:val="232"/>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4">
    <w:name w:val="字母编号列项（一级）"/>
    <w:qFormat/>
    <w:uiPriority w:val="0"/>
    <w:pPr>
      <w:tabs>
        <w:tab w:val="left" w:pos="840"/>
        <w:tab w:val="left" w:pos="1646"/>
      </w:tabs>
      <w:ind w:left="1646" w:hanging="648"/>
      <w:jc w:val="both"/>
    </w:pPr>
    <w:rPr>
      <w:rFonts w:ascii="宋体" w:hAnsi="Calibri" w:eastAsia="宋体" w:cs="Times New Roman"/>
      <w:sz w:val="21"/>
      <w:lang w:val="en-US" w:eastAsia="zh-CN" w:bidi="ar-SA"/>
    </w:rPr>
  </w:style>
  <w:style w:type="character" w:customStyle="1" w:styleId="235">
    <w:name w:val="标准文件_注×： Char"/>
    <w:link w:val="182"/>
    <w:qFormat/>
    <w:uiPriority w:val="0"/>
    <w:rPr>
      <w:rFonts w:ascii="宋体" w:hAnsi="Times New Roman" w:eastAsia="宋体" w:cs="Times New Roman"/>
      <w:sz w:val="18"/>
      <w:szCs w:val="18"/>
      <w:lang w:val="en-US" w:eastAsia="zh-CN" w:bidi="ar-SA"/>
    </w:rPr>
  </w:style>
  <w:style w:type="character" w:customStyle="1" w:styleId="236">
    <w:name w:val="标准文件_注X后 Char"/>
    <w:link w:val="208"/>
    <w:qFormat/>
    <w:uiPriority w:val="0"/>
    <w:rPr>
      <w:sz w:val="18"/>
    </w:rPr>
  </w:style>
  <w:style w:type="character" w:customStyle="1" w:styleId="237">
    <w:name w:val="标准文件_注后 Char"/>
    <w:link w:val="207"/>
    <w:qFormat/>
    <w:uiPriority w:val="0"/>
    <w:rPr>
      <w:sz w:val="18"/>
    </w:rPr>
  </w:style>
  <w:style w:type="character" w:customStyle="1" w:styleId="238">
    <w:name w:val="标准文件_标准正文 Char"/>
    <w:link w:val="57"/>
    <w:qFormat/>
    <w:uiPriority w:val="0"/>
    <w:rPr>
      <w:kern w:val="0"/>
    </w:rPr>
  </w:style>
  <w:style w:type="character" w:customStyle="1" w:styleId="239">
    <w:name w:val="标准文件_公式后的破折号 Char"/>
    <w:link w:val="90"/>
    <w:qFormat/>
    <w:uiPriority w:val="0"/>
  </w:style>
  <w:style w:type="paragraph" w:customStyle="1" w:styleId="240">
    <w:name w:val="章标题"/>
    <w:next w:val="233"/>
    <w:qFormat/>
    <w:uiPriority w:val="0"/>
    <w:pPr>
      <w:numPr>
        <w:ilvl w:val="1"/>
        <w:numId w:val="32"/>
      </w:numPr>
      <w:tabs>
        <w:tab w:val="left" w:pos="420"/>
      </w:tabs>
      <w:spacing w:before="50" w:beforeLines="50" w:after="50" w:afterLines="50"/>
      <w:jc w:val="both"/>
      <w:outlineLvl w:val="1"/>
    </w:pPr>
    <w:rPr>
      <w:rFonts w:ascii="黑体" w:hAnsi="Times New Roman" w:eastAsia="黑体" w:cs="Times New Roman"/>
      <w:b/>
      <w:sz w:val="21"/>
      <w:lang w:val="en-US" w:eastAsia="zh-CN" w:bidi="ar-SA"/>
    </w:rPr>
  </w:style>
  <w:style w:type="paragraph" w:customStyle="1" w:styleId="241">
    <w:name w:val="一级条标题"/>
    <w:basedOn w:val="240"/>
    <w:next w:val="233"/>
    <w:qFormat/>
    <w:uiPriority w:val="0"/>
    <w:pPr>
      <w:numPr>
        <w:ilvl w:val="2"/>
        <w:numId w:val="32"/>
      </w:numPr>
      <w:tabs>
        <w:tab w:val="left" w:pos="525"/>
        <w:tab w:val="clear" w:pos="420"/>
      </w:tabs>
      <w:spacing w:before="0" w:beforeLines="0" w:after="0" w:afterLines="0"/>
      <w:outlineLvl w:val="2"/>
    </w:pPr>
  </w:style>
  <w:style w:type="paragraph" w:customStyle="1" w:styleId="242">
    <w:name w:val="二级条标题"/>
    <w:basedOn w:val="241"/>
    <w:next w:val="233"/>
    <w:qFormat/>
    <w:uiPriority w:val="0"/>
    <w:pPr>
      <w:numPr>
        <w:ilvl w:val="3"/>
        <w:numId w:val="32"/>
      </w:numPr>
      <w:tabs>
        <w:tab w:val="clear" w:pos="525"/>
      </w:tabs>
      <w:outlineLvl w:val="3"/>
    </w:pPr>
  </w:style>
  <w:style w:type="paragraph" w:customStyle="1" w:styleId="243">
    <w:name w:val="三级无"/>
    <w:basedOn w:val="244"/>
    <w:qFormat/>
    <w:uiPriority w:val="0"/>
    <w:pPr>
      <w:tabs>
        <w:tab w:val="left" w:pos="360"/>
        <w:tab w:val="left" w:pos="720"/>
        <w:tab w:val="left" w:pos="862"/>
        <w:tab w:val="left" w:pos="945"/>
        <w:tab w:val="left" w:pos="1080"/>
      </w:tabs>
      <w:spacing w:before="0" w:beforeLines="0" w:after="0" w:afterLines="0"/>
    </w:pPr>
    <w:rPr>
      <w:rFonts w:ascii="宋体" w:eastAsia="宋体"/>
    </w:rPr>
  </w:style>
  <w:style w:type="paragraph" w:customStyle="1" w:styleId="244">
    <w:name w:val="三级条标题"/>
    <w:basedOn w:val="242"/>
    <w:next w:val="233"/>
    <w:qFormat/>
    <w:uiPriority w:val="0"/>
    <w:pPr>
      <w:numPr>
        <w:ilvl w:val="4"/>
        <w:numId w:val="32"/>
      </w:numPr>
      <w:tabs>
        <w:tab w:val="left" w:pos="945"/>
      </w:tabs>
      <w:outlineLvl w:val="4"/>
    </w:pPr>
  </w:style>
  <w:style w:type="paragraph" w:customStyle="1" w:styleId="245">
    <w:name w:val="二级无"/>
    <w:basedOn w:val="242"/>
    <w:qFormat/>
    <w:uiPriority w:val="0"/>
    <w:pPr>
      <w:tabs>
        <w:tab w:val="clear" w:pos="360"/>
      </w:tabs>
      <w:spacing w:before="0" w:beforeLines="0" w:after="0" w:afterLines="0"/>
    </w:pPr>
    <w:rPr>
      <w:rFonts w:ascii="宋体" w:eastAsia="宋体"/>
    </w:rPr>
  </w:style>
  <w:style w:type="paragraph" w:customStyle="1" w:styleId="24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4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48">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wmf"/><Relationship Id="rId20" Type="http://schemas.openxmlformats.org/officeDocument/2006/relationships/image" Target="media/image1.wm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CCEF4DA094EE1A3EA89D73B495B65"/>
        <w:style w:val=""/>
        <w:category>
          <w:name w:val="常规"/>
          <w:gallery w:val="placeholder"/>
        </w:category>
        <w:types>
          <w:type w:val="bbPlcHdr"/>
        </w:types>
        <w:behaviors>
          <w:behavior w:val="content"/>
        </w:behaviors>
        <w:description w:val=""/>
        <w:guid w:val="{552B1F9D-C77A-45F1-BB4B-38F7FE20F93F}"/>
      </w:docPartPr>
      <w:docPartBody>
        <w:p>
          <w:pPr>
            <w:pStyle w:val="5"/>
          </w:pPr>
          <w:r>
            <w:rPr>
              <w:rStyle w:val="4"/>
              <w:rFonts w:hint="eastAsia"/>
            </w:rPr>
            <w:t>单击或点击此处输入文字。</w:t>
          </w:r>
        </w:p>
      </w:docPartBody>
    </w:docPart>
    <w:docPart>
      <w:docPartPr>
        <w:name w:val="8467A95ED8AA41BC97CDEF710B4C0341"/>
        <w:style w:val=""/>
        <w:category>
          <w:name w:val="常规"/>
          <w:gallery w:val="placeholder"/>
        </w:category>
        <w:types>
          <w:type w:val="bbPlcHdr"/>
        </w:types>
        <w:behaviors>
          <w:behavior w:val="content"/>
        </w:behaviors>
        <w:description w:val=""/>
        <w:guid w:val="{613CDF3F-036D-4771-95ED-6B0AF4A2720F}"/>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C"/>
    <w:rsid w:val="002C48B2"/>
    <w:rsid w:val="00386C30"/>
    <w:rsid w:val="005E5A7C"/>
    <w:rsid w:val="00622B47"/>
    <w:rsid w:val="00774AF5"/>
    <w:rsid w:val="00774EDF"/>
    <w:rsid w:val="00790BAA"/>
    <w:rsid w:val="00DC1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67A95ED8AA41BC97CDEF710B4C03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7B519F888524541906C6B20F3C883B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6B46F3-E22E-43A8-A2D3-5D641D1BF3A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Pages>
  <Words>1039</Words>
  <Characters>5926</Characters>
  <Lines>1</Lines>
  <Paragraphs>1</Paragraphs>
  <TotalTime>1</TotalTime>
  <ScaleCrop>false</ScaleCrop>
  <LinksUpToDate>false</LinksUpToDate>
  <CharactersWithSpaces>6952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2021-08-05T00:34:00Z</dcterms:created>
  <dc:creator>40545</dc:creator>
  <dc:description>&lt;config cover="true" show_menu="true" version="1.0.0" doctype="SDKXY"&gt;_x000d_
&lt;/config&gt;</dc:description>
  <cp:lastModifiedBy>cesirohs</cp:lastModifiedBy>
  <cp:lastPrinted>2021-02-02T08:22:00Z</cp:lastPrinted>
  <dcterms:modified xsi:type="dcterms:W3CDTF">2023-05-31T08:51:59Z</dcterms:modified>
  <dc:title>团体标准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2052-11.8.2.8959</vt:lpwstr>
  </property>
  <property fmtid="{D5CDD505-2E9C-101B-9397-08002B2CF9AE}" pid="16" name="ICV">
    <vt:lpwstr>7B7CEFC98FC84C08AB18464CFCAC04E3</vt:lpwstr>
  </property>
</Properties>
</file>