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4"/>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黑体" w:hAnsi="黑体" w:eastAsia="黑体"/>
                <w:sz w:val="21"/>
                <w:szCs w:val="21"/>
              </w:rPr>
              <w:t xml:space="preserve">ICS  </w:t>
            </w:r>
          </w:p>
        </w:tc>
        <w:tc>
          <w:tcPr>
            <w:tcW w:w="8855" w:type="dxa"/>
          </w:tcPr>
          <w:p>
            <w:pPr>
              <w:pStyle w:val="4"/>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4"/>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t xml:space="preserve">CCS  </w:t>
            </w:r>
          </w:p>
        </w:tc>
        <w:tc>
          <w:tcPr>
            <w:tcW w:w="8855" w:type="dxa"/>
          </w:tcPr>
          <w:tbl>
            <w:tblPr>
              <w:tblStyle w:val="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16"/>
                    <w:framePr w:wrap="notBeside" w:vAnchor="page" w:hAnchor="page" w:x="1372" w:y="568"/>
                    <w:ind w:left="420" w:right="624"/>
                    <w:rPr>
                      <w:rFonts w:ascii="黑体" w:hAnsi="黑体" w:eastAsia="黑体"/>
                      <w:sz w:val="28"/>
                      <w:szCs w:val="28"/>
                    </w:rPr>
                  </w:pPr>
                </w:p>
              </w:tc>
            </w:tr>
          </w:tbl>
          <w:p>
            <w:pPr>
              <w:pStyle w:val="4"/>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p>
      <w:pPr>
        <w:pStyle w:val="17"/>
        <w:framePr w:w="9639" w:h="1054" w:hRule="exact" w:hSpace="181" w:vSpace="181" w:wrap="around" w:hAnchor="page" w:x="1305" w:y="2269"/>
        <w:spacing w:line="240" w:lineRule="auto"/>
        <w:ind w:right="817" w:rightChars="389"/>
        <w:rPr>
          <w:rFonts w:ascii="黑体" w:hAnsi="黑体" w:eastAsia="黑体"/>
          <w:b w:val="0"/>
          <w:bCs w:val="0"/>
          <w:w w:val="100"/>
          <w:sz w:val="84"/>
          <w:szCs w:val="84"/>
        </w:rPr>
      </w:pPr>
      <w:bookmarkStart w:id="2" w:name="_Hlk26473981"/>
      <w:r>
        <w:rPr>
          <w:rFonts w:hint="eastAsia" w:ascii="黑体" w:eastAsia="黑体"/>
          <w:b w:val="0"/>
          <w:w w:val="100"/>
          <w:sz w:val="84"/>
          <w:szCs w:val="84"/>
        </w:rPr>
        <w:t xml:space="preserve"> 团体</w:t>
      </w:r>
      <w:r>
        <w:rPr>
          <w:rFonts w:hint="eastAsia" w:ascii="黑体" w:hAnsi="黑体" w:eastAsia="黑体"/>
          <w:b w:val="0"/>
          <w:bCs w:val="0"/>
          <w:w w:val="100"/>
          <w:sz w:val="84"/>
          <w:szCs w:val="84"/>
        </w:rPr>
        <w:t xml:space="preserve">标准 </w:t>
      </w:r>
    </w:p>
    <w:bookmarkEnd w:id="2"/>
    <w:p>
      <w:pPr>
        <w:pStyle w:val="18"/>
        <w:framePr w:wrap="around" w:x="1431" w:y="3469"/>
      </w:pPr>
      <w:r>
        <w:t xml:space="preserve">T/CPIA </w:t>
      </w:r>
      <w:r>
        <w:fldChar w:fldCharType="begin">
          <w:ffData>
            <w:name w:val="NSTD_CODE_F"/>
            <w:enabled/>
            <w:calcOnExit w:val="0"/>
            <w:textInput>
              <w:default w:val="XXXX"/>
            </w:textInput>
          </w:ffData>
        </w:fldChar>
      </w:r>
      <w:bookmarkStart w:id="3" w:name="NSTD_CODE_F"/>
      <w:r>
        <w:instrText xml:space="preserve"> FORMTEXT </w:instrText>
      </w:r>
      <w:r>
        <w:fldChar w:fldCharType="separate"/>
      </w:r>
      <w:r>
        <w:t>XXXX</w:t>
      </w:r>
      <w:r>
        <w:fldChar w:fldCharType="end"/>
      </w:r>
      <w:bookmarkEnd w:id="3"/>
      <w:r>
        <w:rPr>
          <w:rFonts w:hAnsi="黑体"/>
        </w:rPr>
        <w:t>—</w:t>
      </w:r>
      <w:r>
        <w:t>202X</w:t>
      </w:r>
    </w:p>
    <w:p>
      <w:pPr>
        <w:pStyle w:val="20"/>
        <w:framePr w:wrap="around" w:x="1431" w:y="3469"/>
        <w:rPr>
          <w:rFonts w:hAnsi="黑体"/>
        </w:rPr>
      </w:pPr>
      <w:r>
        <w:rPr>
          <w:rFonts w:hAnsi="黑体"/>
        </w:rPr>
        <w:fldChar w:fldCharType="begin">
          <w:ffData>
            <w:name w:val="OSTD_CODE"/>
            <w:enabled/>
            <w:calcOnExit w:val="0"/>
            <w:textInput/>
          </w:ffData>
        </w:fldChar>
      </w:r>
      <w:bookmarkStart w:id="4"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4"/>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ng0mW2AAAAAwBAAAPAAAAAAAAAAEAIAAAACIAAABkcnMv&#10;ZG93bnJldi54bWxQSwECFAAUAAAACACHTuJAeCbvfcoBAABeAwAADgAAAAAAAAABACAAAAAnAQAA&#10;ZHJzL2Uyb0RvYy54bWxQSwUGAAAAAAYABgBZAQAAYwUAAAAA&#10;">
                <v:fill on="f" focussize="0,0"/>
                <v:stroke color="#000000" joinstyle="round"/>
                <v:imagedata o:title=""/>
                <o:lock v:ext="edit" aspectratio="f"/>
              </v:line>
            </w:pict>
          </mc:Fallback>
        </mc:AlternateContent>
      </w:r>
    </w:p>
    <w:p>
      <w:pPr>
        <w:pStyle w:val="17"/>
        <w:framePr w:w="9639" w:h="6976" w:hRule="exact" w:hSpace="0" w:vSpace="0" w:wrap="around" w:hAnchor="page" w:y="6408"/>
        <w:jc w:val="center"/>
        <w:rPr>
          <w:rFonts w:ascii="黑体" w:hAnsi="黑体" w:eastAsia="黑体"/>
          <w:b w:val="0"/>
          <w:bCs w:val="0"/>
          <w:w w:val="100"/>
        </w:rPr>
      </w:pPr>
    </w:p>
    <w:p>
      <w:pPr>
        <w:pStyle w:val="21"/>
        <w:framePr w:h="6974" w:hRule="exact" w:wrap="around" w:x="1419" w:anchorLock="1"/>
      </w:pPr>
      <w:bookmarkStart w:id="5" w:name="CSTD_NAME"/>
      <w:r>
        <w:rPr>
          <w:rFonts w:ascii="黑体" w:hAnsi="黑体" w:eastAsia="黑体" w:cs="Times New Roman"/>
          <w:bCs/>
          <w:sz w:val="52"/>
          <w:lang w:val="en-US" w:eastAsia="zh-CN" w:bidi="ar-SA"/>
        </w:rPr>
        <w:fldChar w:fldCharType="begin">
          <w:ffData>
            <w:name w:val="CSTD_NAME"/>
            <w:enabled/>
            <w:calcOnExit w:val="0"/>
            <w:textInput>
              <w:default w:val="光伏发电站二次回路运行维护指南"/>
            </w:textInput>
          </w:ffData>
        </w:fldChar>
      </w:r>
      <w:r>
        <w:rPr>
          <w:rFonts w:ascii="黑体" w:hAnsi="黑体" w:eastAsia="黑体" w:cs="Times New Roman"/>
          <w:bCs/>
          <w:sz w:val="52"/>
          <w:lang w:val="en-US" w:eastAsia="zh-CN" w:bidi="ar-SA"/>
        </w:rPr>
        <w:instrText xml:space="preserve">FORMTEXT</w:instrText>
      </w:r>
      <w:r>
        <w:rPr>
          <w:rFonts w:ascii="黑体" w:hAnsi="黑体" w:eastAsia="黑体" w:cs="Times New Roman"/>
          <w:bCs/>
          <w:sz w:val="52"/>
          <w:lang w:val="en-US" w:eastAsia="zh-CN" w:bidi="ar-SA"/>
        </w:rPr>
        <w:fldChar w:fldCharType="separate"/>
      </w:r>
      <w:r>
        <w:rPr>
          <w:rFonts w:ascii="黑体" w:hAnsi="黑体" w:eastAsia="黑体" w:cs="Times New Roman"/>
          <w:bCs/>
          <w:sz w:val="52"/>
          <w:lang w:val="en-US" w:eastAsia="zh-CN" w:bidi="ar-SA"/>
        </w:rPr>
        <w:t>光伏发电站二次回路运行维护指南</w:t>
      </w:r>
      <w:r>
        <w:rPr>
          <w:rFonts w:ascii="黑体" w:hAnsi="黑体" w:eastAsia="黑体" w:cs="Times New Roman"/>
          <w:bCs/>
          <w:sz w:val="52"/>
          <w:lang w:val="en-US" w:eastAsia="zh-CN" w:bidi="ar-SA"/>
        </w:rPr>
        <w:fldChar w:fldCharType="end"/>
      </w:r>
      <w:bookmarkEnd w:id="5"/>
    </w:p>
    <w:p>
      <w:pPr>
        <w:framePr w:w="9639" w:h="6974" w:hRule="exact" w:wrap="around" w:vAnchor="page" w:hAnchor="page" w:x="1419" w:y="6408" w:anchorLock="1"/>
        <w:ind w:left="-1418"/>
      </w:pPr>
    </w:p>
    <w:p>
      <w:pPr>
        <w:pStyle w:val="22"/>
        <w:framePr w:w="9639" w:h="6974" w:hRule="exact" w:wrap="around" w:vAnchor="page" w:hAnchor="page" w:x="1419" w:y="6408" w:anchorLock="1"/>
        <w:textAlignment w:val="bottom"/>
        <w:rPr>
          <w:rFonts w:eastAsia="黑体"/>
          <w:szCs w:val="28"/>
        </w:rPr>
      </w:pPr>
      <w:bookmarkStart w:id="6" w:name="ESTD_NAME"/>
      <w:r>
        <w:rPr>
          <w:rFonts w:hint="eastAsia" w:ascii="黑体" w:hAnsi="黑体" w:eastAsia="黑体" w:cs="黑体"/>
          <w:sz w:val="28"/>
          <w:szCs w:val="28"/>
          <w:lang w:val="en-US" w:eastAsia="zh-CN" w:bidi="ar-SA"/>
        </w:rPr>
        <w:fldChar w:fldCharType="begin">
          <w:ffData>
            <w:name w:val="ESTD_NAME"/>
            <w:enabled/>
            <w:calcOnExit w:val="0"/>
            <w:textInput>
              <w:default w:val="Guidance on operation and maintenance of secondary circuit of photovoltaic power station"/>
            </w:textInput>
          </w:ffData>
        </w:fldChar>
      </w:r>
      <w:r>
        <w:rPr>
          <w:rFonts w:hint="eastAsia" w:ascii="黑体" w:hAnsi="黑体" w:eastAsia="黑体" w:cs="黑体"/>
          <w:sz w:val="28"/>
          <w:szCs w:val="28"/>
          <w:lang w:val="en-US" w:eastAsia="zh-CN" w:bidi="ar-SA"/>
        </w:rPr>
        <w:instrText xml:space="preserve">FORMTEXT</w:instrText>
      </w:r>
      <w:r>
        <w:rPr>
          <w:rFonts w:hint="eastAsia" w:ascii="黑体" w:hAnsi="黑体" w:eastAsia="黑体" w:cs="黑体"/>
          <w:sz w:val="28"/>
          <w:szCs w:val="28"/>
          <w:lang w:val="en-US" w:eastAsia="zh-CN" w:bidi="ar-SA"/>
        </w:rPr>
        <w:fldChar w:fldCharType="separate"/>
      </w:r>
      <w:r>
        <w:rPr>
          <w:rFonts w:hint="eastAsia" w:ascii="黑体" w:hAnsi="黑体" w:eastAsia="黑体" w:cs="黑体"/>
          <w:sz w:val="28"/>
          <w:szCs w:val="28"/>
          <w:lang w:val="en-US" w:eastAsia="zh-CN" w:bidi="ar-SA"/>
        </w:rPr>
        <w:t>Guidance on operation and maintenance of secondary circuit of photovoltaic power station</w:t>
      </w:r>
      <w:r>
        <w:rPr>
          <w:rFonts w:hint="eastAsia" w:ascii="黑体" w:hAnsi="黑体" w:eastAsia="黑体" w:cs="黑体"/>
          <w:sz w:val="28"/>
          <w:szCs w:val="28"/>
          <w:lang w:val="en-US" w:eastAsia="zh-CN" w:bidi="ar-SA"/>
        </w:rPr>
        <w:fldChar w:fldCharType="end"/>
      </w:r>
      <w:bookmarkEnd w:id="6"/>
    </w:p>
    <w:p>
      <w:pPr>
        <w:framePr w:w="9639" w:h="6974" w:hRule="exact" w:wrap="around" w:vAnchor="page" w:hAnchor="page" w:x="1419" w:y="6408" w:anchorLock="1"/>
        <w:spacing w:line="760" w:lineRule="exact"/>
        <w:ind w:left="-1418"/>
      </w:pPr>
    </w:p>
    <w:p>
      <w:pPr>
        <w:pStyle w:val="22"/>
        <w:framePr w:w="9639" w:h="6974" w:hRule="exact" w:wrap="around" w:vAnchor="page" w:hAnchor="page" w:x="1419" w:y="6408" w:anchorLock="1"/>
        <w:textAlignment w:val="bottom"/>
        <w:rPr>
          <w:rFonts w:eastAsia="黑体"/>
          <w:szCs w:val="28"/>
        </w:rPr>
      </w:pPr>
    </w:p>
    <w:p>
      <w:pPr>
        <w:pStyle w:val="22"/>
        <w:framePr w:w="9639" w:h="6974" w:hRule="exact" w:wrap="around" w:vAnchor="page" w:hAnchor="page" w:x="1419" w:y="6408" w:anchorLock="1"/>
        <w:spacing w:before="440" w:after="160"/>
        <w:textAlignment w:val="bottom"/>
        <w:rPr>
          <w:sz w:val="24"/>
          <w:szCs w:val="28"/>
        </w:rPr>
      </w:pPr>
    </w:p>
    <w:p>
      <w:pPr>
        <w:pStyle w:val="22"/>
        <w:framePr w:w="9639" w:h="6974" w:hRule="exact" w:wrap="around" w:vAnchor="page" w:hAnchor="page" w:x="1419" w:y="6408" w:anchorLock="1"/>
        <w:spacing w:before="180" w:line="240" w:lineRule="atLeast"/>
        <w:textAlignment w:val="bottom"/>
        <w:rPr>
          <w:sz w:val="21"/>
          <w:szCs w:val="28"/>
        </w:rPr>
      </w:pPr>
    </w:p>
    <w:p>
      <w:pPr>
        <w:pStyle w:val="23"/>
        <w:framePr w:wrap="around" w:y="14176"/>
      </w:pPr>
      <w:r>
        <w:rPr>
          <w:rFonts w:ascii="黑体"/>
        </w:rPr>
        <w:fldChar w:fldCharType="begin">
          <w:ffData>
            <w:name w:val="PLSH_DATE_Y"/>
            <w:enabled/>
            <w:calcOnExit w:val="0"/>
            <w:textInput>
              <w:default w:val="XXXX"/>
              <w:maxLength w:val="4"/>
            </w:textInput>
          </w:ffData>
        </w:fldChar>
      </w:r>
      <w:bookmarkStart w:id="7"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7"/>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8"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8"/>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9"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rPr>
          <w:rFonts w:hint="eastAsia"/>
        </w:rPr>
        <w:t>发布</w:t>
      </w:r>
    </w:p>
    <w:p>
      <w:pPr>
        <w:pStyle w:val="25"/>
        <w:framePr w:wrap="around" w:y="14176"/>
      </w:pPr>
      <w:r>
        <w:rPr>
          <w:rFonts w:ascii="黑体"/>
        </w:rPr>
        <w:fldChar w:fldCharType="begin">
          <w:ffData>
            <w:name w:val="CROT_DATE_Y"/>
            <w:enabled/>
            <w:calcOnExit w:val="0"/>
            <w:textInput>
              <w:default w:val="XXXX"/>
              <w:maxLength w:val="4"/>
            </w:textInput>
          </w:ffData>
        </w:fldChar>
      </w:r>
      <w:bookmarkStart w:id="10"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0"/>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1"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1"/>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2"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rPr>
          <w:rFonts w:hint="eastAsia"/>
        </w:rPr>
        <w:t>实施</w:t>
      </w:r>
    </w:p>
    <w:p>
      <w:pPr>
        <w:pStyle w:val="27"/>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3" w:name="fm"/>
      <w:r>
        <w:rPr>
          <w:rFonts w:hAnsi="黑体"/>
          <w:w w:val="100"/>
          <w:sz w:val="28"/>
        </w:rPr>
        <w:instrText xml:space="preserve"> FORMTEXT </w:instrText>
      </w:r>
      <w:r>
        <w:rPr>
          <w:rFonts w:hAnsi="黑体"/>
          <w:w w:val="100"/>
          <w:sz w:val="28"/>
        </w:rPr>
        <w:fldChar w:fldCharType="separate"/>
      </w:r>
      <w:r>
        <w:rPr>
          <w:rFonts w:hAnsi="黑体"/>
          <w:w w:val="100"/>
          <w:sz w:val="28"/>
        </w:rPr>
        <w:t>     </w:t>
      </w:r>
      <w:r>
        <w:rPr>
          <w:rFonts w:hAnsi="黑体"/>
          <w:w w:val="100"/>
          <w:sz w:val="28"/>
        </w:rPr>
        <w:fldChar w:fldCharType="end"/>
      </w:r>
      <w:bookmarkEnd w:id="13"/>
      <w:r>
        <w:rPr>
          <w:rFonts w:ascii="Times New Roman"/>
          <w:w w:val="100"/>
          <w:sz w:val="28"/>
        </w:rPr>
        <w:t>  </w:t>
      </w:r>
      <w:r>
        <w:rPr>
          <w:rStyle w:val="29"/>
          <w:rFonts w:hint="eastAsia" w:hAnsi="黑体"/>
          <w:position w:val="0"/>
        </w:rPr>
        <w:t>发</w:t>
      </w:r>
      <w:r>
        <w:rPr>
          <w:rStyle w:val="29"/>
          <w:rFonts w:hint="eastAsia" w:hAnsi="黑体"/>
          <w:spacing w:val="0"/>
          <w:position w:val="0"/>
        </w:rPr>
        <w:t>布</w:t>
      </w:r>
    </w:p>
    <w:p>
      <w:pPr>
        <w:rPr>
          <w:rFonts w:ascii="宋体" w:hAnsi="宋体"/>
          <w:sz w:val="28"/>
          <w:szCs w:val="28"/>
        </w:rPr>
        <w:sectPr>
          <w:headerReference r:id="rId5" w:type="first"/>
          <w:footerReference r:id="rId7" w:type="first"/>
          <w:headerReference r:id="rId3" w:type="default"/>
          <w:headerReference r:id="rId4" w:type="even"/>
          <w:footerReference r:id="rId6" w:type="even"/>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rMxz71wAAAA4BAAAPAAAAAAAAAAEAIAAAACIAAABkcnMvZG93&#10;bnJldi54bWxQSwECFAAUAAAACACHTuJAqt0+T8gBAABcAwAADgAAAAAAAAABACAAAAAmAQAAZHJz&#10;L2Uyb0RvYy54bWxQSwUGAAAAAAYABgBZAQAAYAUAAAAA&#10;">
                <v:fill on="f" focussize="0,0"/>
                <v:stroke color="#000000" joinstyle="round"/>
                <v:imagedata o:title=""/>
                <o:lock v:ext="edit" aspectratio="f"/>
                <w10:anchorlock/>
              </v:line>
            </w:pict>
          </mc:Fallback>
        </mc:AlternateContent>
      </w:r>
    </w:p>
    <w:p>
      <w:pPr>
        <w:pStyle w:val="30"/>
        <w:spacing w:before="567" w:after="680" w:afterLines="0"/>
        <w:rPr>
          <w:rFonts w:hint="eastAsia"/>
        </w:rPr>
      </w:pPr>
      <w:bookmarkStart w:id="14" w:name="BookMark1"/>
      <w:bookmarkStart w:id="15" w:name="_Toc79045634"/>
      <w:bookmarkStart w:id="16" w:name="_Toc14189"/>
      <w:bookmarkStart w:id="17" w:name="_Toc79504496"/>
      <w:r>
        <w:rPr>
          <w:rFonts w:hint="eastAsia"/>
          <w:spacing w:val="320"/>
        </w:rPr>
        <w:t>目</w:t>
      </w:r>
      <w:r>
        <w:rPr>
          <w:rFonts w:hint="eastAsia"/>
        </w:rPr>
        <w:t>次</w:t>
      </w:r>
    </w:p>
    <w:p>
      <w:pPr>
        <w:pStyle w:val="5"/>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textAlignment w:val="auto"/>
        <w:rPr>
          <w:rFonts w:hint="eastAsia" w:ascii="宋体" w:hAnsi="宋体" w:eastAsia="宋体" w:cs="宋体"/>
          <w:szCs w:val="21"/>
        </w:rPr>
      </w:pPr>
      <w:r>
        <w:rPr>
          <w:rFonts w:hint="eastAsia" w:ascii="宋体" w:hAnsi="宋体" w:eastAsia="宋体" w:cs="宋体"/>
          <w:szCs w:val="21"/>
        </w:rPr>
        <w:fldChar w:fldCharType="begin"/>
      </w:r>
      <w:r>
        <w:rPr>
          <w:rFonts w:hint="eastAsia" w:ascii="宋体" w:hAnsi="宋体" w:eastAsia="宋体" w:cs="宋体"/>
          <w:szCs w:val="21"/>
        </w:rPr>
        <w:instrText xml:space="preserve"> TOC \o "1-1" \h \t "标准文件_一级条标题,2,标准文件_附录一级条标题,2," </w:instrText>
      </w:r>
      <w:r>
        <w:rPr>
          <w:rFonts w:hint="eastAsia" w:ascii="宋体" w:hAnsi="宋体" w:eastAsia="宋体" w:cs="宋体"/>
          <w:szCs w:val="21"/>
        </w:rPr>
        <w:fldChar w:fldCharType="separate"/>
      </w:r>
      <w:r>
        <w:rPr>
          <w:rFonts w:hint="eastAsia" w:ascii="宋体" w:hAnsi="宋体" w:eastAsia="宋体" w:cs="宋体"/>
          <w:szCs w:val="21"/>
        </w:rPr>
        <w:fldChar w:fldCharType="begin"/>
      </w:r>
      <w:r>
        <w:rPr>
          <w:rFonts w:hint="eastAsia" w:ascii="宋体" w:hAnsi="宋体" w:eastAsia="宋体" w:cs="宋体"/>
          <w:szCs w:val="21"/>
        </w:rPr>
        <w:instrText xml:space="preserve"> HYPERLINK \l _Toc1496 </w:instrText>
      </w:r>
      <w:r>
        <w:rPr>
          <w:rFonts w:hint="eastAsia" w:ascii="宋体" w:hAnsi="宋体" w:eastAsia="宋体" w:cs="宋体"/>
          <w:szCs w:val="21"/>
        </w:rPr>
        <w:fldChar w:fldCharType="separate"/>
      </w:r>
      <w:r>
        <w:rPr>
          <w:rFonts w:hint="eastAsia" w:ascii="宋体" w:hAnsi="宋体" w:eastAsia="宋体" w:cs="宋体"/>
          <w:szCs w:val="21"/>
        </w:rPr>
        <w:t>前言</w:t>
      </w:r>
      <w:r>
        <w:rPr>
          <w:rFonts w:hint="eastAsia" w:ascii="宋体" w:hAnsi="宋体" w:eastAsia="宋体" w:cs="宋体"/>
          <w:szCs w:val="21"/>
        </w:rPr>
        <w:tab/>
      </w:r>
      <w:r>
        <w:rPr>
          <w:rFonts w:hint="eastAsia" w:ascii="宋体" w:hAnsi="宋体" w:eastAsia="宋体" w:cs="宋体"/>
          <w:szCs w:val="21"/>
        </w:rPr>
        <w:fldChar w:fldCharType="begin"/>
      </w:r>
      <w:r>
        <w:rPr>
          <w:rFonts w:hint="eastAsia" w:ascii="宋体" w:hAnsi="宋体" w:eastAsia="宋体" w:cs="宋体"/>
          <w:szCs w:val="21"/>
        </w:rPr>
        <w:instrText xml:space="preserve"> PAGEREF _Toc1496 \h </w:instrText>
      </w:r>
      <w:r>
        <w:rPr>
          <w:rFonts w:hint="eastAsia" w:ascii="宋体" w:hAnsi="宋体" w:eastAsia="宋体" w:cs="宋体"/>
          <w:szCs w:val="21"/>
        </w:rPr>
        <w:fldChar w:fldCharType="separate"/>
      </w:r>
      <w:r>
        <w:rPr>
          <w:rFonts w:hint="eastAsia" w:ascii="宋体" w:hAnsi="宋体" w:eastAsia="宋体" w:cs="宋体"/>
          <w:szCs w:val="21"/>
        </w:rPr>
        <w:t>II</w:t>
      </w:r>
      <w:r>
        <w:rPr>
          <w:rFonts w:hint="eastAsia" w:ascii="宋体" w:hAnsi="宋体" w:eastAsia="宋体" w:cs="宋体"/>
          <w:szCs w:val="21"/>
        </w:rPr>
        <w:fldChar w:fldCharType="end"/>
      </w:r>
      <w:r>
        <w:rPr>
          <w:rFonts w:hint="eastAsia" w:ascii="宋体" w:hAnsi="宋体" w:eastAsia="宋体" w:cs="宋体"/>
          <w:szCs w:val="21"/>
        </w:rPr>
        <w:fldChar w:fldCharType="end"/>
      </w:r>
    </w:p>
    <w:p>
      <w:pPr>
        <w:pStyle w:val="5"/>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_Toc13016 </w:instrText>
      </w:r>
      <w:r>
        <w:rPr>
          <w:rFonts w:hint="eastAsia" w:ascii="宋体" w:hAnsi="宋体" w:eastAsia="宋体" w:cs="宋体"/>
          <w:szCs w:val="21"/>
        </w:rPr>
        <w:fldChar w:fldCharType="separate"/>
      </w:r>
      <w:r>
        <w:rPr>
          <w:rFonts w:hint="eastAsia" w:ascii="宋体" w:hAnsi="宋体" w:eastAsia="宋体" w:cs="宋体"/>
          <w:i w:val="0"/>
        </w:rPr>
        <w:t xml:space="preserve">1 </w:t>
      </w:r>
      <w:r>
        <w:rPr>
          <w:rFonts w:hint="eastAsia" w:ascii="宋体" w:hAnsi="宋体" w:eastAsia="宋体" w:cs="宋体"/>
          <w:i w:val="0"/>
          <w:lang w:val="en-US" w:eastAsia="zh-CN"/>
        </w:rPr>
        <w:t xml:space="preserve">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_Toc13016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5"/>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_Toc17961 </w:instrText>
      </w:r>
      <w:r>
        <w:rPr>
          <w:rFonts w:hint="eastAsia" w:ascii="宋体" w:hAnsi="宋体" w:eastAsia="宋体" w:cs="宋体"/>
          <w:szCs w:val="21"/>
        </w:rPr>
        <w:fldChar w:fldCharType="separate"/>
      </w:r>
      <w:r>
        <w:rPr>
          <w:rFonts w:hint="eastAsia" w:ascii="宋体" w:hAnsi="宋体" w:eastAsia="宋体" w:cs="宋体"/>
          <w:i w:val="0"/>
        </w:rPr>
        <w:t xml:space="preserve">2 </w:t>
      </w:r>
      <w:r>
        <w:rPr>
          <w:rFonts w:hint="eastAsia" w:ascii="宋体" w:hAnsi="宋体" w:eastAsia="宋体" w:cs="宋体"/>
          <w:i w:val="0"/>
          <w:lang w:val="en-US" w:eastAsia="zh-CN"/>
        </w:rPr>
        <w:t xml:space="preserve"> </w:t>
      </w:r>
      <w:bookmarkStart w:id="78" w:name="_GoBack"/>
      <w:bookmarkEnd w:id="78"/>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_Toc17961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5"/>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_Toc13364 </w:instrText>
      </w:r>
      <w:r>
        <w:rPr>
          <w:rFonts w:hint="eastAsia" w:ascii="宋体" w:hAnsi="宋体" w:eastAsia="宋体" w:cs="宋体"/>
          <w:szCs w:val="21"/>
        </w:rPr>
        <w:fldChar w:fldCharType="separate"/>
      </w:r>
      <w:r>
        <w:rPr>
          <w:rFonts w:hint="eastAsia" w:ascii="宋体" w:hAnsi="宋体" w:eastAsia="宋体" w:cs="宋体"/>
          <w:i w:val="0"/>
          <w:szCs w:val="21"/>
        </w:rPr>
        <w:t xml:space="preserve">3 </w:t>
      </w:r>
      <w:r>
        <w:rPr>
          <w:rFonts w:hint="eastAsia" w:ascii="宋体" w:hAnsi="宋体" w:eastAsia="宋体" w:cs="宋体"/>
          <w:i w:val="0"/>
          <w:szCs w:val="21"/>
          <w:lang w:val="en-US" w:eastAsia="zh-CN"/>
        </w:rPr>
        <w:t xml:space="preserve"> </w:t>
      </w:r>
      <w:r>
        <w:rPr>
          <w:rFonts w:hint="eastAsia" w:ascii="宋体" w:hAnsi="宋体" w:eastAsia="宋体" w:cs="宋体"/>
          <w:szCs w:val="21"/>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_Toc13364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szCs w:val="21"/>
        </w:rPr>
        <w:fldChar w:fldCharType="end"/>
      </w:r>
    </w:p>
    <w:p>
      <w:pPr>
        <w:pStyle w:val="5"/>
        <w:keepNext w:val="0"/>
        <w:keepLines w:val="0"/>
        <w:pageBreakBefore w:val="0"/>
        <w:widowControl w:val="0"/>
        <w:tabs>
          <w:tab w:val="right" w:leader="dot" w:pos="9354"/>
        </w:tabs>
        <w:kinsoku/>
        <w:wordWrap/>
        <w:overflowPunct/>
        <w:topLinePunct w:val="0"/>
        <w:autoSpaceDE/>
        <w:autoSpaceDN/>
        <w:bidi w:val="0"/>
        <w:adjustRightInd/>
        <w:snapToGrid/>
        <w:spacing w:before="79" w:beforeLines="25" w:after="79" w:afterLines="25"/>
        <w:textAlignment w:val="auto"/>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_Toc19789 </w:instrText>
      </w:r>
      <w:r>
        <w:rPr>
          <w:rFonts w:hint="eastAsia" w:ascii="宋体" w:hAnsi="宋体" w:eastAsia="宋体" w:cs="宋体"/>
          <w:szCs w:val="21"/>
        </w:rPr>
        <w:fldChar w:fldCharType="separate"/>
      </w:r>
      <w:r>
        <w:rPr>
          <w:rFonts w:hint="eastAsia" w:ascii="宋体" w:hAnsi="宋体" w:eastAsia="宋体" w:cs="宋体"/>
          <w:i w:val="0"/>
        </w:rPr>
        <w:t xml:space="preserve">4 </w:t>
      </w:r>
      <w:r>
        <w:rPr>
          <w:rFonts w:hint="eastAsia" w:ascii="宋体" w:hAnsi="宋体" w:eastAsia="宋体" w:cs="宋体"/>
          <w:i w:val="0"/>
          <w:lang w:val="en-US" w:eastAsia="zh-CN"/>
        </w:rPr>
        <w:t xml:space="preserve"> </w:t>
      </w:r>
      <w:r>
        <w:rPr>
          <w:rFonts w:hint="eastAsia" w:ascii="宋体" w:hAnsi="宋体" w:eastAsia="宋体" w:cs="宋体"/>
          <w:bCs/>
          <w:lang w:val="en-US" w:eastAsia="zh-CN"/>
        </w:rPr>
        <w:t>通用要求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_Toc19789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6"/>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_Toc1734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4.1</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lang w:eastAsia="zh-CN"/>
        </w:rPr>
        <w:t>反措要求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_Toc1734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szCs w:val="21"/>
        </w:rPr>
        <w:fldChar w:fldCharType="end"/>
      </w:r>
    </w:p>
    <w:p>
      <w:pPr>
        <w:pStyle w:val="6"/>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_Toc189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lang w:val="en-US" w:eastAsia="zh-CN"/>
        </w:rPr>
        <w:t>一般要求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_Toc189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6"/>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_Toc16808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lang w:val="en-US" w:eastAsia="zh-CN"/>
        </w:rPr>
        <w:t>运行阶段</w:t>
      </w:r>
      <w:r>
        <w:rPr>
          <w:rFonts w:hint="eastAsia" w:ascii="宋体" w:hAnsi="宋体" w:eastAsia="宋体" w:cs="宋体"/>
          <w:bCs/>
          <w:lang w:eastAsia="zh-CN"/>
        </w:rPr>
        <w:t>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_Toc16808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szCs w:val="21"/>
        </w:rPr>
        <w:fldChar w:fldCharType="end"/>
      </w:r>
    </w:p>
    <w:p>
      <w:pPr>
        <w:pStyle w:val="6"/>
        <w:tabs>
          <w:tab w:val="right" w:leader="dot" w:pos="9354"/>
          <w:tab w:val="clear" w:pos="9344"/>
        </w:tabs>
        <w:rPr>
          <w:rFonts w:hint="eastAsia" w:ascii="宋体" w:hAnsi="宋体" w:eastAsia="宋体" w:cs="宋体"/>
        </w:rPr>
      </w:pPr>
      <w:r>
        <w:rPr>
          <w:rFonts w:hint="eastAsia" w:ascii="宋体" w:hAnsi="宋体" w:eastAsia="宋体" w:cs="宋体"/>
          <w:szCs w:val="21"/>
        </w:rPr>
        <w:fldChar w:fldCharType="begin"/>
      </w:r>
      <w:r>
        <w:rPr>
          <w:rFonts w:hint="eastAsia" w:ascii="宋体" w:hAnsi="宋体" w:eastAsia="宋体" w:cs="宋体"/>
          <w:szCs w:val="21"/>
        </w:rPr>
        <w:instrText xml:space="preserve"> HYPERLINK \l _Toc19619 </w:instrText>
      </w:r>
      <w:r>
        <w:rPr>
          <w:rFonts w:hint="eastAsia" w:ascii="宋体" w:hAnsi="宋体" w:eastAsia="宋体" w:cs="宋体"/>
          <w:szCs w:val="21"/>
        </w:rPr>
        <w:fldChar w:fldCharType="separate"/>
      </w:r>
      <w:r>
        <w:rPr>
          <w:rFonts w:hint="eastAsia" w:ascii="宋体" w:hAnsi="宋体" w:eastAsia="宋体" w:cs="宋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ascii="宋体" w:hAnsi="宋体" w:eastAsia="宋体" w:cs="宋体"/>
          <w:bCs w:val="0"/>
          <w:i w:val="0"/>
          <w:iCs w:val="0"/>
          <w:caps w:val="0"/>
          <w:smallCaps w:val="0"/>
          <w:strike w:val="0"/>
          <w:dstrike w:val="0"/>
          <w:vanish w:val="0"/>
          <w:spacing w:val="0"/>
          <w:kern w:val="0"/>
          <w:position w:val="0"/>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 </w:t>
      </w:r>
      <w:r>
        <w:rPr>
          <w:rFonts w:hint="eastAsia" w:ascii="宋体" w:hAnsi="宋体" w:eastAsia="宋体" w:cs="宋体"/>
          <w:bCs/>
          <w:lang w:val="en-US" w:eastAsia="zh-CN"/>
        </w:rPr>
        <w:t>维护检修阶段</w:t>
      </w:r>
      <w:r>
        <w:rPr>
          <w:rFonts w:hint="eastAsia" w:ascii="宋体" w:hAnsi="宋体" w:eastAsia="宋体" w:cs="宋体"/>
          <w:bCs/>
          <w:lang w:eastAsia="zh-CN"/>
        </w:rPr>
        <w:t>技术要求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_Toc19619 \h </w:instrText>
      </w:r>
      <w:r>
        <w:rPr>
          <w:rFonts w:hint="eastAsia" w:ascii="宋体" w:hAnsi="宋体" w:eastAsia="宋体" w:cs="宋体"/>
        </w:rPr>
        <w:fldChar w:fldCharType="separate"/>
      </w:r>
      <w:r>
        <w:rPr>
          <w:rFonts w:hint="eastAsia" w:ascii="宋体" w:hAnsi="宋体" w:eastAsia="宋体" w:cs="宋体"/>
        </w:rPr>
        <w:t>7</w:t>
      </w:r>
      <w:r>
        <w:rPr>
          <w:rFonts w:hint="eastAsia" w:ascii="宋体" w:hAnsi="宋体" w:eastAsia="宋体" w:cs="宋体"/>
        </w:rPr>
        <w:fldChar w:fldCharType="end"/>
      </w:r>
      <w:r>
        <w:rPr>
          <w:rFonts w:hint="eastAsia" w:ascii="宋体" w:hAnsi="宋体" w:eastAsia="宋体" w:cs="宋体"/>
          <w:szCs w:val="21"/>
        </w:rPr>
        <w:fldChar w:fldCharType="end"/>
      </w:r>
    </w:p>
    <w:p>
      <w:pPr>
        <w:pStyle w:val="30"/>
        <w:spacing w:after="0" w:afterLines="0"/>
        <w:sectPr>
          <w:headerReference r:id="rId8" w:type="default"/>
          <w:footerReference r:id="rId10" w:type="default"/>
          <w:headerReference r:id="rId9" w:type="even"/>
          <w:footerReference r:id="rId11" w:type="even"/>
          <w:pgSz w:w="11906" w:h="16838"/>
          <w:pgMar w:top="567" w:right="1134" w:bottom="1134" w:left="1134" w:header="1418" w:footer="1134" w:gutter="284"/>
          <w:pgNumType w:fmt="upperRoman" w:start="1"/>
          <w:cols w:space="425" w:num="1"/>
          <w:formProt w:val="0"/>
          <w:docGrid w:linePitch="312" w:charSpace="0"/>
        </w:sectPr>
      </w:pPr>
      <w:r>
        <w:rPr>
          <w:rFonts w:hint="eastAsia" w:ascii="宋体" w:hAnsi="宋体" w:eastAsia="宋体" w:cs="宋体"/>
          <w:szCs w:val="21"/>
        </w:rPr>
        <w:fldChar w:fldCharType="end"/>
      </w:r>
    </w:p>
    <w:bookmarkEnd w:id="14"/>
    <w:p>
      <w:pPr>
        <w:pStyle w:val="31"/>
        <w:spacing w:before="567" w:after="680" w:afterLines="0"/>
      </w:pPr>
      <w:bookmarkStart w:id="18" w:name="_Toc31434"/>
      <w:bookmarkStart w:id="19" w:name="_Toc1496"/>
      <w:bookmarkStart w:id="20" w:name="BookMark2"/>
      <w:r>
        <w:rPr>
          <w:spacing w:val="320"/>
        </w:rPr>
        <w:t>前</w:t>
      </w:r>
      <w:r>
        <w:t>言</w:t>
      </w:r>
      <w:bookmarkEnd w:id="15"/>
      <w:bookmarkEnd w:id="16"/>
      <w:bookmarkEnd w:id="17"/>
      <w:bookmarkEnd w:id="18"/>
      <w:bookmarkEnd w:id="19"/>
    </w:p>
    <w:p>
      <w:pPr>
        <w:pStyle w:val="19"/>
        <w:ind w:firstLine="420"/>
      </w:pPr>
      <w:r>
        <w:rPr>
          <w:rFonts w:hint="eastAsia"/>
        </w:rPr>
        <w:t>本文件按照GB/T 1.1—2020《标准化工作导则  第1部分：标准化文件的结构和起草规则》的规定起草。</w:t>
      </w:r>
    </w:p>
    <w:p>
      <w:pPr>
        <w:pStyle w:val="19"/>
        <w:ind w:firstLine="420"/>
        <w:rPr>
          <w:rFonts w:hint="eastAsia"/>
          <w:lang w:val="en-US" w:eastAsia="zh-CN"/>
        </w:rPr>
      </w:pPr>
    </w:p>
    <w:p>
      <w:pPr>
        <w:pStyle w:val="19"/>
        <w:ind w:firstLine="420"/>
        <w:rPr>
          <w:rFonts w:hint="eastAsia" w:eastAsia="宋体"/>
          <w:lang w:val="en-US" w:eastAsia="zh-CN"/>
        </w:rPr>
      </w:pPr>
      <w:r>
        <w:rPr>
          <w:rFonts w:hint="eastAsia"/>
          <w:lang w:val="en-US" w:eastAsia="zh-CN"/>
        </w:rPr>
        <w:t>请注意本文件的某些内容可能涉及专利。本文件的发布机构不承担识别这些专利的责任。</w:t>
      </w:r>
    </w:p>
    <w:p>
      <w:pPr>
        <w:pStyle w:val="19"/>
        <w:ind w:firstLine="420"/>
      </w:pPr>
      <w:r>
        <w:rPr>
          <w:rFonts w:hint="eastAsia"/>
        </w:rPr>
        <w:t>本文件由××××提出。</w:t>
      </w:r>
    </w:p>
    <w:p>
      <w:pPr>
        <w:pStyle w:val="19"/>
        <w:ind w:firstLine="420"/>
      </w:pPr>
      <w:r>
        <w:rPr>
          <w:rFonts w:hint="eastAsia"/>
        </w:rPr>
        <w:t>本文件由××××归口。</w:t>
      </w:r>
    </w:p>
    <w:p>
      <w:pPr>
        <w:pStyle w:val="19"/>
        <w:ind w:firstLine="420"/>
        <w:rPr>
          <w:rFonts w:hint="default" w:eastAsia="宋体"/>
          <w:lang w:val="en-US" w:eastAsia="zh-CN"/>
        </w:rPr>
      </w:pPr>
      <w:r>
        <w:rPr>
          <w:rFonts w:hint="eastAsia"/>
        </w:rPr>
        <w:t>本文件起草单位：</w:t>
      </w:r>
      <w:r>
        <w:rPr>
          <w:rFonts w:hint="eastAsia"/>
          <w:lang w:val="en-US" w:eastAsia="zh-CN"/>
        </w:rPr>
        <w:t>龙源（北京）风电工程技术有限责任公司</w:t>
      </w:r>
    </w:p>
    <w:p>
      <w:pPr>
        <w:pStyle w:val="19"/>
        <w:ind w:firstLine="420"/>
      </w:pPr>
      <w:r>
        <w:rPr>
          <w:rFonts w:hint="eastAsia"/>
        </w:rPr>
        <w:t>本文件主要起草人：</w:t>
      </w:r>
    </w:p>
    <w:p>
      <w:pPr>
        <w:pStyle w:val="19"/>
        <w:ind w:firstLine="420"/>
      </w:pPr>
    </w:p>
    <w:p>
      <w:pPr>
        <w:pStyle w:val="19"/>
        <w:ind w:firstLine="420"/>
        <w:sectPr>
          <w:headerReference r:id="rId12" w:type="default"/>
          <w:footerReference r:id="rId14" w:type="default"/>
          <w:headerReference r:id="rId13" w:type="even"/>
          <w:footerReference r:id="rId15" w:type="even"/>
          <w:pgSz w:w="11906" w:h="16838"/>
          <w:pgMar w:top="567" w:right="1134" w:bottom="1134" w:left="1134" w:header="1418" w:footer="1134" w:gutter="284"/>
          <w:pgNumType w:fmt="upperRoman"/>
          <w:cols w:space="425" w:num="1"/>
          <w:formProt w:val="0"/>
          <w:docGrid w:linePitch="312" w:charSpace="0"/>
        </w:sectPr>
      </w:pPr>
    </w:p>
    <w:bookmarkEnd w:id="20"/>
    <w:sdt>
      <w:sdtPr>
        <w:tag w:val="NEW_STAND_NAME"/>
        <w:id w:val="595910757"/>
        <w:lock w:val="sdtLocked"/>
        <w:placeholder>
          <w:docPart w:val="{4db1eef2-71cd-4ea7-87e1-35524c11d558}"/>
        </w:placeholder>
      </w:sdtPr>
      <w:sdtEndPr>
        <w:rPr>
          <w:b w:val="0"/>
          <w:bCs/>
        </w:rPr>
      </w:sdtEndPr>
      <w:sdtContent>
        <w:p>
          <w:pPr>
            <w:pStyle w:val="32"/>
            <w:spacing w:before="567" w:after="680" w:afterLines="0" w:line="240" w:lineRule="auto"/>
            <w:rPr>
              <w:b w:val="0"/>
              <w:bCs/>
            </w:rPr>
          </w:pPr>
          <w:bookmarkStart w:id="21" w:name="_Toc13635"/>
          <w:bookmarkStart w:id="22" w:name="_Toc13070"/>
          <w:bookmarkStart w:id="23" w:name="_Toc11458"/>
          <w:bookmarkStart w:id="24" w:name="_Toc15247"/>
          <w:bookmarkStart w:id="25" w:name="NEW_STAND_NAME"/>
          <w:bookmarkStart w:id="26" w:name="BookMark4"/>
          <w:r>
            <w:rPr>
              <w:rFonts w:hint="eastAsia"/>
            </w:rPr>
            <w:t>光伏发电站二次回路运行维护指南</w:t>
          </w:r>
          <w:bookmarkEnd w:id="21"/>
          <w:bookmarkEnd w:id="22"/>
          <w:bookmarkEnd w:id="23"/>
          <w:bookmarkEnd w:id="24"/>
        </w:p>
      </w:sdtContent>
    </w:sdt>
    <w:bookmarkEnd w:id="25"/>
    <w:p>
      <w:pPr>
        <w:pStyle w:val="33"/>
        <w:spacing w:before="240" w:after="240"/>
        <w:rPr>
          <w:rFonts w:hint="eastAsia"/>
        </w:rPr>
      </w:pPr>
      <w:bookmarkStart w:id="27" w:name="_Toc24884218"/>
      <w:bookmarkStart w:id="28" w:name="_Toc79504498"/>
      <w:bookmarkStart w:id="29" w:name="_Toc26718930"/>
      <w:bookmarkStart w:id="30" w:name="_Toc24884211"/>
      <w:bookmarkStart w:id="31" w:name="_Toc17233325"/>
      <w:bookmarkStart w:id="32" w:name="_Toc10800"/>
      <w:bookmarkStart w:id="33" w:name="_Toc17233333"/>
      <w:bookmarkStart w:id="34" w:name="_Toc26648465"/>
      <w:bookmarkStart w:id="35" w:name="_Toc26986530"/>
      <w:bookmarkStart w:id="36" w:name="_Toc26986771"/>
      <w:bookmarkStart w:id="37" w:name="_Toc79045635"/>
      <w:bookmarkStart w:id="38" w:name="_Toc26950"/>
      <w:bookmarkStart w:id="39" w:name="_Toc13016"/>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pPr>
        <w:pStyle w:val="19"/>
        <w:ind w:firstLine="420"/>
        <w:rPr>
          <w:rFonts w:hint="eastAsia" w:ascii="宋体" w:eastAsia="宋体"/>
          <w:lang w:val="en-US" w:eastAsia="zh-CN"/>
        </w:rPr>
      </w:pPr>
      <w:bookmarkStart w:id="40" w:name="_Toc26648466"/>
      <w:bookmarkStart w:id="41" w:name="_Toc26986772"/>
      <w:bookmarkStart w:id="42" w:name="_Toc25811"/>
      <w:bookmarkStart w:id="43" w:name="_Toc24884212"/>
      <w:bookmarkStart w:id="44" w:name="_Toc26986531"/>
      <w:bookmarkStart w:id="45" w:name="_Toc26718931"/>
      <w:bookmarkStart w:id="46" w:name="_Toc79045636"/>
      <w:bookmarkStart w:id="47" w:name="_Toc17233334"/>
      <w:bookmarkStart w:id="48" w:name="_Toc17233326"/>
      <w:bookmarkStart w:id="49" w:name="_Toc24884219"/>
      <w:bookmarkStart w:id="50" w:name="_Toc79504499"/>
      <w:bookmarkStart w:id="51" w:name="_Toc25952"/>
      <w:r>
        <w:rPr>
          <w:rFonts w:hint="eastAsia" w:ascii="宋体" w:eastAsia="宋体"/>
          <w:lang w:val="en-US" w:eastAsia="zh-CN"/>
        </w:rPr>
        <w:t>本</w:t>
      </w:r>
      <w:r>
        <w:rPr>
          <w:rFonts w:hint="eastAsia"/>
          <w:lang w:val="en-US" w:eastAsia="zh-CN"/>
        </w:rPr>
        <w:t>文件</w:t>
      </w:r>
      <w:r>
        <w:rPr>
          <w:rFonts w:hint="eastAsia" w:ascii="宋体" w:eastAsia="宋体"/>
          <w:lang w:val="en-US" w:eastAsia="zh-CN"/>
        </w:rPr>
        <w:t>规定了并网光伏电站、100kW及以上的大型独立光伏发电站、接入中低压系统的分布式光伏电站二次回路运行与维护过程中的技术要求。</w:t>
      </w:r>
    </w:p>
    <w:p>
      <w:pPr>
        <w:pStyle w:val="19"/>
        <w:ind w:firstLine="420"/>
        <w:rPr>
          <w:rFonts w:hint="eastAsia" w:ascii="宋体" w:eastAsia="宋体"/>
        </w:rPr>
      </w:pPr>
      <w:r>
        <w:rPr>
          <w:rFonts w:hint="eastAsia" w:ascii="宋体" w:eastAsia="宋体"/>
          <w:lang w:val="en-US" w:eastAsia="zh-CN"/>
        </w:rPr>
        <w:t>本</w:t>
      </w:r>
      <w:r>
        <w:rPr>
          <w:rFonts w:hint="eastAsia"/>
          <w:lang w:val="en-US" w:eastAsia="zh-CN"/>
        </w:rPr>
        <w:t>文件</w:t>
      </w:r>
      <w:r>
        <w:rPr>
          <w:rFonts w:hint="eastAsia" w:ascii="宋体" w:eastAsia="宋体"/>
          <w:lang w:val="en-US" w:eastAsia="zh-CN"/>
        </w:rPr>
        <w:t>适用于并网光伏电站、100kW及以上的大型独立光伏发电站二次回路运行与维护相关工作。</w:t>
      </w:r>
    </w:p>
    <w:p>
      <w:pPr>
        <w:pStyle w:val="33"/>
        <w:spacing w:before="240" w:after="240"/>
        <w:rPr>
          <w:rFonts w:hint="eastAsia"/>
        </w:rPr>
      </w:pPr>
      <w:bookmarkStart w:id="52" w:name="_Toc17961"/>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ascii="宋体" w:eastAsia="宋体"/>
        </w:rPr>
        <w:id w:val="715848253"/>
        <w:placeholder>
          <w:docPart w:val="{85b483d3-3869-4a17-9919-c3c2bf5b552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eastAsia="宋体"/>
        </w:rPr>
      </w:sdtEndPr>
      <w:sdtContent>
        <w:p>
          <w:pPr>
            <w:pStyle w:val="19"/>
            <w:ind w:firstLine="420"/>
            <w:rPr>
              <w:rFonts w:hint="eastAsia" w:ascii="宋体" w:eastAsia="宋体"/>
            </w:rPr>
          </w:pPr>
          <w:r>
            <w:rPr>
              <w:rFonts w:hint="eastAsia" w:ascii="宋体" w:eastAsia="宋体"/>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19"/>
        <w:ind w:firstLine="420"/>
        <w:rPr>
          <w:rFonts w:hint="eastAsia" w:ascii="宋体" w:eastAsia="宋体"/>
        </w:rPr>
      </w:pPr>
      <w:r>
        <w:rPr>
          <w:rFonts w:hint="eastAsia" w:ascii="宋体" w:eastAsia="宋体"/>
        </w:rPr>
        <w:t>GB</w:t>
      </w:r>
      <w:r>
        <w:rPr>
          <w:rFonts w:hint="eastAsia" w:ascii="宋体" w:eastAsia="宋体"/>
          <w:lang w:val="en-US" w:eastAsia="zh-CN"/>
        </w:rPr>
        <w:t>/</w:t>
      </w:r>
      <w:r>
        <w:rPr>
          <w:rFonts w:hint="eastAsia" w:ascii="宋体" w:eastAsia="宋体"/>
        </w:rPr>
        <w:t>T</w:t>
      </w:r>
      <w:r>
        <w:rPr>
          <w:rFonts w:hint="eastAsia" w:ascii="宋体" w:eastAsia="宋体"/>
          <w:lang w:val="en-US" w:eastAsia="zh-CN"/>
        </w:rPr>
        <w:t xml:space="preserve"> </w:t>
      </w:r>
      <w:r>
        <w:rPr>
          <w:rFonts w:hint="eastAsia" w:ascii="宋体" w:eastAsia="宋体"/>
        </w:rPr>
        <w:t>14285</w:t>
      </w:r>
      <w:r>
        <w:rPr>
          <w:rFonts w:hint="eastAsia" w:ascii="宋体" w:eastAsia="宋体"/>
          <w:lang w:val="en-US" w:eastAsia="zh-CN"/>
        </w:rPr>
        <w:t xml:space="preserve"> </w:t>
      </w:r>
      <w:r>
        <w:rPr>
          <w:rFonts w:hint="eastAsia"/>
          <w:lang w:val="en-US" w:eastAsia="zh-CN"/>
        </w:rPr>
        <w:t xml:space="preserve"> </w:t>
      </w:r>
      <w:r>
        <w:rPr>
          <w:rFonts w:hint="eastAsia" w:ascii="宋体" w:eastAsia="宋体"/>
        </w:rPr>
        <w:t>继电保护和安全自动装置技术规程</w:t>
      </w:r>
    </w:p>
    <w:p>
      <w:pPr>
        <w:pStyle w:val="19"/>
        <w:ind w:firstLine="420"/>
        <w:rPr>
          <w:rFonts w:hint="eastAsia" w:ascii="宋体" w:eastAsia="宋体"/>
        </w:rPr>
      </w:pPr>
      <w:r>
        <w:rPr>
          <w:rFonts w:hint="default" w:ascii="宋体" w:eastAsia="宋体"/>
          <w:lang w:val="en-US" w:eastAsia="zh-CN"/>
        </w:rPr>
        <w:t>GB/T 19964</w:t>
      </w:r>
      <w:r>
        <w:rPr>
          <w:rFonts w:hint="eastAsia"/>
          <w:lang w:val="en-US" w:eastAsia="zh-CN"/>
        </w:rPr>
        <w:t xml:space="preserve"> </w:t>
      </w:r>
      <w:r>
        <w:rPr>
          <w:rFonts w:hint="eastAsia" w:ascii="宋体" w:eastAsia="宋体"/>
          <w:lang w:val="en-US" w:eastAsia="zh-CN"/>
        </w:rPr>
        <w:t xml:space="preserve"> </w:t>
      </w:r>
      <w:r>
        <w:rPr>
          <w:rFonts w:hint="default" w:ascii="宋体" w:eastAsia="宋体"/>
          <w:lang w:val="en-US" w:eastAsia="zh-CN"/>
        </w:rPr>
        <w:t>光伏发电站接入电力系统技术规定</w:t>
      </w:r>
    </w:p>
    <w:p>
      <w:pPr>
        <w:pStyle w:val="19"/>
        <w:ind w:firstLine="420"/>
        <w:rPr>
          <w:rFonts w:hint="eastAsia" w:ascii="宋体" w:eastAsia="宋体"/>
        </w:rPr>
      </w:pPr>
      <w:r>
        <w:rPr>
          <w:rFonts w:hint="default" w:ascii="宋体" w:eastAsia="宋体"/>
          <w:lang w:val="en-US" w:eastAsia="zh-CN"/>
        </w:rPr>
        <w:t>GB/T 29319</w:t>
      </w:r>
      <w:r>
        <w:rPr>
          <w:rFonts w:hint="eastAsia" w:ascii="宋体" w:eastAsia="宋体"/>
          <w:lang w:val="en-US" w:eastAsia="zh-CN"/>
        </w:rPr>
        <w:t xml:space="preserve"> </w:t>
      </w:r>
      <w:r>
        <w:rPr>
          <w:rFonts w:hint="eastAsia"/>
          <w:lang w:val="en-US" w:eastAsia="zh-CN"/>
        </w:rPr>
        <w:t xml:space="preserve"> </w:t>
      </w:r>
      <w:r>
        <w:rPr>
          <w:rFonts w:hint="default" w:ascii="宋体" w:eastAsia="宋体"/>
          <w:lang w:val="en-US" w:eastAsia="zh-CN"/>
        </w:rPr>
        <w:t>光伏发电系统接入配电网技术规定</w:t>
      </w:r>
    </w:p>
    <w:p>
      <w:pPr>
        <w:pStyle w:val="19"/>
        <w:ind w:firstLine="420"/>
        <w:rPr>
          <w:rFonts w:hint="default" w:ascii="宋体" w:eastAsia="宋体"/>
          <w:lang w:val="en-US" w:eastAsia="zh-CN"/>
        </w:rPr>
      </w:pPr>
      <w:r>
        <w:rPr>
          <w:rFonts w:hint="default" w:ascii="宋体" w:eastAsia="宋体"/>
          <w:lang w:val="en-US" w:eastAsia="zh-CN"/>
        </w:rPr>
        <w:t>GB/T 35694</w:t>
      </w:r>
      <w:r>
        <w:rPr>
          <w:rFonts w:hint="eastAsia" w:ascii="宋体" w:eastAsia="宋体"/>
          <w:lang w:val="en-US" w:eastAsia="zh-CN"/>
        </w:rPr>
        <w:t xml:space="preserve"> </w:t>
      </w:r>
      <w:r>
        <w:rPr>
          <w:rFonts w:hint="eastAsia"/>
          <w:lang w:val="en-US" w:eastAsia="zh-CN"/>
        </w:rPr>
        <w:t xml:space="preserve"> </w:t>
      </w:r>
      <w:r>
        <w:rPr>
          <w:rFonts w:hint="default" w:ascii="宋体" w:eastAsia="宋体"/>
          <w:lang w:val="en-US" w:eastAsia="zh-CN"/>
        </w:rPr>
        <w:t>光伏发电站安全规程</w:t>
      </w:r>
    </w:p>
    <w:p>
      <w:pPr>
        <w:pStyle w:val="19"/>
        <w:ind w:firstLine="420"/>
        <w:rPr>
          <w:rFonts w:hint="default" w:ascii="宋体" w:eastAsia="宋体"/>
          <w:lang w:val="en-US" w:eastAsia="zh-CN"/>
        </w:rPr>
      </w:pPr>
      <w:r>
        <w:rPr>
          <w:rFonts w:hint="eastAsia" w:ascii="宋体" w:eastAsia="宋体"/>
        </w:rPr>
        <w:t>GB</w:t>
      </w:r>
      <w:r>
        <w:rPr>
          <w:rFonts w:hint="eastAsia" w:ascii="宋体" w:eastAsia="宋体"/>
          <w:lang w:val="en-US" w:eastAsia="zh-CN"/>
        </w:rPr>
        <w:t>/</w:t>
      </w:r>
      <w:r>
        <w:rPr>
          <w:rFonts w:hint="eastAsia" w:ascii="宋体" w:eastAsia="宋体"/>
        </w:rPr>
        <w:t>T</w:t>
      </w:r>
      <w:r>
        <w:rPr>
          <w:rFonts w:hint="eastAsia" w:ascii="宋体" w:eastAsia="宋体"/>
          <w:lang w:val="en-US" w:eastAsia="zh-CN"/>
        </w:rPr>
        <w:t xml:space="preserve"> </w:t>
      </w:r>
      <w:r>
        <w:rPr>
          <w:rFonts w:hint="eastAsia" w:ascii="宋体" w:eastAsia="宋体"/>
        </w:rPr>
        <w:t>50062</w:t>
      </w:r>
      <w:r>
        <w:rPr>
          <w:rFonts w:hint="eastAsia"/>
          <w:lang w:val="en-US" w:eastAsia="zh-CN"/>
        </w:rPr>
        <w:t xml:space="preserve"> </w:t>
      </w:r>
      <w:r>
        <w:rPr>
          <w:rFonts w:hint="eastAsia" w:ascii="宋体" w:eastAsia="宋体"/>
          <w:lang w:val="en-US" w:eastAsia="zh-CN"/>
        </w:rPr>
        <w:t xml:space="preserve"> </w:t>
      </w:r>
      <w:r>
        <w:rPr>
          <w:rFonts w:hint="eastAsia" w:ascii="宋体" w:eastAsia="宋体"/>
          <w:lang w:eastAsia="zh-CN"/>
        </w:rPr>
        <w:t>电力装置的继电保护和自动装置设计规范</w:t>
      </w:r>
    </w:p>
    <w:p>
      <w:pPr>
        <w:pStyle w:val="19"/>
        <w:ind w:firstLine="420"/>
        <w:rPr>
          <w:rFonts w:hint="eastAsia" w:ascii="宋体" w:eastAsia="宋体"/>
        </w:rPr>
      </w:pPr>
      <w:r>
        <w:rPr>
          <w:rFonts w:hint="eastAsia" w:ascii="宋体" w:eastAsia="宋体"/>
        </w:rPr>
        <w:t xml:space="preserve">GB 50150 </w:t>
      </w:r>
      <w:r>
        <w:rPr>
          <w:rFonts w:hint="eastAsia"/>
          <w:lang w:val="en-US" w:eastAsia="zh-CN"/>
        </w:rPr>
        <w:t xml:space="preserve"> </w:t>
      </w:r>
      <w:r>
        <w:rPr>
          <w:rFonts w:hint="eastAsia" w:ascii="宋体" w:eastAsia="宋体"/>
        </w:rPr>
        <w:t>电气装置安装工程电气设备交接试验标准</w:t>
      </w:r>
    </w:p>
    <w:p>
      <w:pPr>
        <w:pStyle w:val="19"/>
        <w:ind w:firstLine="420"/>
        <w:rPr>
          <w:rFonts w:hint="eastAsia" w:ascii="宋体" w:eastAsia="宋体"/>
          <w:lang w:val="en-US" w:eastAsia="zh-CN"/>
        </w:rPr>
      </w:pPr>
      <w:r>
        <w:rPr>
          <w:rFonts w:hint="default" w:ascii="宋体" w:eastAsia="宋体"/>
          <w:lang w:val="en-US" w:eastAsia="zh-CN"/>
        </w:rPr>
        <w:t>GB</w:t>
      </w:r>
      <w:r>
        <w:rPr>
          <w:rFonts w:hint="eastAsia" w:ascii="宋体" w:eastAsia="宋体"/>
          <w:lang w:val="en-US" w:eastAsia="zh-CN"/>
        </w:rPr>
        <w:t xml:space="preserve"> </w:t>
      </w:r>
      <w:r>
        <w:rPr>
          <w:rFonts w:hint="default" w:ascii="宋体" w:eastAsia="宋体"/>
          <w:lang w:val="en-US" w:eastAsia="zh-CN"/>
        </w:rPr>
        <w:t>50171</w:t>
      </w:r>
      <w:r>
        <w:rPr>
          <w:rFonts w:hint="eastAsia" w:ascii="宋体" w:eastAsia="宋体"/>
          <w:lang w:val="en-US" w:eastAsia="zh-CN"/>
        </w:rPr>
        <w:t xml:space="preserve"> </w:t>
      </w:r>
      <w:r>
        <w:rPr>
          <w:rFonts w:hint="eastAsia"/>
          <w:lang w:val="en-US" w:eastAsia="zh-CN"/>
        </w:rPr>
        <w:t xml:space="preserve"> </w:t>
      </w:r>
      <w:r>
        <w:rPr>
          <w:rFonts w:hint="default" w:ascii="宋体" w:eastAsia="宋体"/>
          <w:lang w:val="en-US" w:eastAsia="zh-CN"/>
        </w:rPr>
        <w:t>电气装置安装工程 盘、柜及二次回路接线施工及验收规范</w:t>
      </w:r>
    </w:p>
    <w:p>
      <w:pPr>
        <w:pStyle w:val="19"/>
        <w:ind w:firstLine="420"/>
        <w:rPr>
          <w:rFonts w:hint="eastAsia" w:ascii="宋体" w:eastAsia="宋体"/>
          <w:lang w:val="en-US" w:eastAsia="zh-CN"/>
        </w:rPr>
      </w:pPr>
      <w:r>
        <w:rPr>
          <w:rFonts w:hint="default" w:ascii="宋体" w:eastAsia="宋体"/>
          <w:lang w:val="en-US" w:eastAsia="zh-CN"/>
        </w:rPr>
        <w:t>GB/T 50796</w:t>
      </w:r>
      <w:r>
        <w:rPr>
          <w:rFonts w:hint="eastAsia" w:ascii="宋体" w:eastAsia="宋体"/>
          <w:lang w:val="en-US" w:eastAsia="zh-CN"/>
        </w:rPr>
        <w:t xml:space="preserve"> </w:t>
      </w:r>
      <w:r>
        <w:rPr>
          <w:rFonts w:hint="eastAsia"/>
          <w:lang w:val="en-US" w:eastAsia="zh-CN"/>
        </w:rPr>
        <w:t xml:space="preserve"> </w:t>
      </w:r>
      <w:r>
        <w:rPr>
          <w:rFonts w:hint="default" w:ascii="宋体" w:eastAsia="宋体"/>
          <w:lang w:val="en-US" w:eastAsia="zh-CN"/>
        </w:rPr>
        <w:t>光伏发电工程验收规范</w:t>
      </w:r>
    </w:p>
    <w:p>
      <w:pPr>
        <w:pStyle w:val="19"/>
        <w:ind w:firstLine="420"/>
        <w:rPr>
          <w:rFonts w:hint="eastAsia" w:ascii="宋体" w:eastAsia="宋体"/>
          <w:lang w:val="en-US" w:eastAsia="zh-CN"/>
        </w:rPr>
      </w:pPr>
      <w:r>
        <w:rPr>
          <w:rFonts w:hint="eastAsia" w:ascii="宋体" w:eastAsia="宋体"/>
          <w:lang w:val="en-US" w:eastAsia="zh-CN"/>
        </w:rPr>
        <w:t xml:space="preserve">GB-50797 </w:t>
      </w:r>
      <w:r>
        <w:rPr>
          <w:rFonts w:hint="eastAsia"/>
          <w:lang w:val="en-US" w:eastAsia="zh-CN"/>
        </w:rPr>
        <w:t xml:space="preserve"> </w:t>
      </w:r>
      <w:r>
        <w:rPr>
          <w:rFonts w:hint="default" w:ascii="宋体" w:eastAsia="宋体"/>
          <w:lang w:val="en-US" w:eastAsia="zh-CN"/>
        </w:rPr>
        <w:t>光伏发电站设计规范</w:t>
      </w:r>
    </w:p>
    <w:p>
      <w:pPr>
        <w:pStyle w:val="19"/>
        <w:ind w:firstLine="420"/>
        <w:rPr>
          <w:rFonts w:hint="eastAsia" w:ascii="宋体" w:eastAsia="宋体"/>
        </w:rPr>
      </w:pPr>
      <w:r>
        <w:rPr>
          <w:rFonts w:hint="eastAsia" w:ascii="宋体" w:eastAsia="宋体"/>
        </w:rPr>
        <w:t xml:space="preserve">DL/T 317 </w:t>
      </w:r>
      <w:r>
        <w:rPr>
          <w:rFonts w:hint="eastAsia"/>
          <w:lang w:val="en-US" w:eastAsia="zh-CN"/>
        </w:rPr>
        <w:t xml:space="preserve"> </w:t>
      </w:r>
      <w:r>
        <w:rPr>
          <w:rFonts w:hint="eastAsia" w:ascii="宋体" w:eastAsia="宋体"/>
        </w:rPr>
        <w:t>继电保护设备标准化设计规范</w:t>
      </w:r>
    </w:p>
    <w:p>
      <w:pPr>
        <w:pStyle w:val="19"/>
        <w:ind w:firstLine="420"/>
        <w:rPr>
          <w:rFonts w:hint="eastAsia" w:ascii="宋体" w:eastAsia="宋体"/>
        </w:rPr>
      </w:pPr>
      <w:r>
        <w:rPr>
          <w:rFonts w:hint="eastAsia" w:ascii="宋体" w:eastAsia="宋体"/>
        </w:rPr>
        <w:t>DL</w:t>
      </w:r>
      <w:r>
        <w:rPr>
          <w:rFonts w:hint="eastAsia" w:ascii="宋体" w:eastAsia="宋体"/>
          <w:lang w:val="en-US" w:eastAsia="zh-CN"/>
        </w:rPr>
        <w:t xml:space="preserve"> </w:t>
      </w:r>
      <w:r>
        <w:rPr>
          <w:rFonts w:hint="eastAsia" w:ascii="宋体" w:eastAsia="宋体"/>
        </w:rPr>
        <w:t>400</w:t>
      </w:r>
      <w:r>
        <w:rPr>
          <w:rFonts w:hint="eastAsia"/>
          <w:lang w:val="en-US" w:eastAsia="zh-CN"/>
        </w:rPr>
        <w:t xml:space="preserve">  </w:t>
      </w:r>
      <w:r>
        <w:rPr>
          <w:rFonts w:hint="eastAsia" w:ascii="宋体" w:eastAsia="宋体"/>
        </w:rPr>
        <w:t>继电保护和安全自动装置技术规程</w:t>
      </w:r>
    </w:p>
    <w:p>
      <w:pPr>
        <w:pStyle w:val="19"/>
        <w:ind w:firstLine="420"/>
        <w:rPr>
          <w:rFonts w:hint="eastAsia" w:ascii="宋体" w:eastAsia="宋体"/>
          <w:lang w:val="en-US" w:eastAsia="zh-CN"/>
        </w:rPr>
      </w:pPr>
      <w:r>
        <w:rPr>
          <w:rFonts w:hint="default" w:ascii="宋体" w:eastAsia="宋体"/>
          <w:lang w:val="en-US" w:eastAsia="zh-CN"/>
        </w:rPr>
        <w:t>DL</w:t>
      </w:r>
      <w:r>
        <w:rPr>
          <w:rFonts w:hint="eastAsia" w:ascii="宋体" w:eastAsia="宋体"/>
          <w:lang w:val="en-US" w:eastAsia="zh-CN"/>
        </w:rPr>
        <w:t xml:space="preserve"> </w:t>
      </w:r>
      <w:r>
        <w:rPr>
          <w:rFonts w:hint="default" w:ascii="宋体" w:eastAsia="宋体"/>
          <w:lang w:val="en-US" w:eastAsia="zh-CN"/>
        </w:rPr>
        <w:t>408</w:t>
      </w:r>
      <w:r>
        <w:rPr>
          <w:rFonts w:hint="eastAsia" w:ascii="宋体" w:eastAsia="宋体"/>
          <w:lang w:val="en-US" w:eastAsia="zh-CN"/>
        </w:rPr>
        <w:t xml:space="preserve"> </w:t>
      </w:r>
      <w:r>
        <w:rPr>
          <w:rFonts w:hint="eastAsia"/>
          <w:lang w:val="en-US" w:eastAsia="zh-CN"/>
        </w:rPr>
        <w:t xml:space="preserve"> </w:t>
      </w:r>
      <w:r>
        <w:rPr>
          <w:rFonts w:hint="eastAsia" w:ascii="宋体" w:eastAsia="宋体"/>
          <w:lang w:val="en-US" w:eastAsia="zh-CN"/>
        </w:rPr>
        <w:t>电业安全工作规程（发电厂和变电所电气部分）</w:t>
      </w:r>
    </w:p>
    <w:p>
      <w:pPr>
        <w:pStyle w:val="19"/>
        <w:ind w:firstLine="420"/>
        <w:rPr>
          <w:rFonts w:hint="eastAsia" w:ascii="宋体" w:eastAsia="宋体"/>
        </w:rPr>
      </w:pPr>
      <w:r>
        <w:rPr>
          <w:rFonts w:hint="eastAsia" w:ascii="宋体" w:eastAsia="宋体"/>
        </w:rPr>
        <w:t>DL</w:t>
      </w:r>
      <w:r>
        <w:rPr>
          <w:rFonts w:hint="eastAsia" w:ascii="宋体" w:eastAsia="宋体"/>
          <w:lang w:val="en-US" w:eastAsia="zh-CN"/>
        </w:rPr>
        <w:t>/</w:t>
      </w:r>
      <w:r>
        <w:rPr>
          <w:rFonts w:hint="eastAsia" w:ascii="宋体" w:eastAsia="宋体"/>
        </w:rPr>
        <w:t xml:space="preserve">T 866 </w:t>
      </w:r>
      <w:r>
        <w:rPr>
          <w:rFonts w:hint="eastAsia"/>
          <w:lang w:val="en-US" w:eastAsia="zh-CN"/>
        </w:rPr>
        <w:t xml:space="preserve"> </w:t>
      </w:r>
      <w:r>
        <w:rPr>
          <w:rFonts w:hint="eastAsia" w:ascii="宋体" w:eastAsia="宋体"/>
        </w:rPr>
        <w:t>电流互感器和电压互感器选择及计算规程</w:t>
      </w:r>
    </w:p>
    <w:p>
      <w:pPr>
        <w:pStyle w:val="19"/>
        <w:ind w:firstLine="420"/>
        <w:rPr>
          <w:rFonts w:hint="eastAsia" w:ascii="宋体" w:eastAsia="宋体"/>
        </w:rPr>
      </w:pPr>
      <w:r>
        <w:rPr>
          <w:rFonts w:hint="eastAsia" w:ascii="宋体" w:eastAsia="宋体"/>
        </w:rPr>
        <w:t xml:space="preserve">DL/T 5136 </w:t>
      </w:r>
      <w:r>
        <w:rPr>
          <w:rFonts w:hint="eastAsia"/>
          <w:lang w:val="en-US" w:eastAsia="zh-CN"/>
        </w:rPr>
        <w:t xml:space="preserve"> </w:t>
      </w:r>
      <w:r>
        <w:rPr>
          <w:rFonts w:hint="eastAsia" w:ascii="宋体" w:eastAsia="宋体"/>
        </w:rPr>
        <w:t>火力发电厂、变电站二次接线设计技术规程</w:t>
      </w:r>
    </w:p>
    <w:p>
      <w:pPr>
        <w:pStyle w:val="19"/>
        <w:ind w:firstLine="420"/>
        <w:rPr>
          <w:rFonts w:hint="eastAsia" w:ascii="宋体" w:eastAsia="宋体"/>
          <w:lang w:val="en-US" w:eastAsia="zh-CN"/>
        </w:rPr>
      </w:pPr>
      <w:r>
        <w:rPr>
          <w:rFonts w:hint="default" w:ascii="宋体" w:eastAsia="宋体"/>
          <w:lang w:val="en-US" w:eastAsia="zh-CN"/>
        </w:rPr>
        <w:t>DL</w:t>
      </w:r>
      <w:r>
        <w:rPr>
          <w:rFonts w:hint="eastAsia" w:ascii="宋体" w:eastAsia="宋体"/>
          <w:lang w:val="en-US" w:eastAsia="zh-CN"/>
        </w:rPr>
        <w:t>/</w:t>
      </w:r>
      <w:r>
        <w:rPr>
          <w:rFonts w:hint="default" w:ascii="宋体" w:eastAsia="宋体"/>
          <w:lang w:val="en-US" w:eastAsia="zh-CN"/>
        </w:rPr>
        <w:t>T</w:t>
      </w:r>
      <w:r>
        <w:rPr>
          <w:rFonts w:hint="eastAsia" w:ascii="宋体" w:eastAsia="宋体"/>
          <w:lang w:val="en-US" w:eastAsia="zh-CN"/>
        </w:rPr>
        <w:t xml:space="preserve"> </w:t>
      </w:r>
      <w:r>
        <w:rPr>
          <w:rFonts w:hint="default" w:ascii="宋体" w:eastAsia="宋体"/>
          <w:lang w:val="en-US" w:eastAsia="zh-CN"/>
        </w:rPr>
        <w:t>5191</w:t>
      </w:r>
      <w:r>
        <w:rPr>
          <w:rFonts w:hint="eastAsia" w:ascii="宋体" w:eastAsia="宋体"/>
          <w:lang w:val="en-US" w:eastAsia="zh-CN"/>
        </w:rPr>
        <w:t xml:space="preserve"> </w:t>
      </w:r>
      <w:r>
        <w:rPr>
          <w:rFonts w:hint="eastAsia"/>
          <w:lang w:val="en-US" w:eastAsia="zh-CN"/>
        </w:rPr>
        <w:t xml:space="preserve"> </w:t>
      </w:r>
      <w:r>
        <w:rPr>
          <w:rFonts w:hint="eastAsia" w:ascii="宋体" w:eastAsia="宋体"/>
          <w:lang w:val="en-US" w:eastAsia="zh-CN"/>
        </w:rPr>
        <w:t>风力发电场项目建设工程验收规程</w:t>
      </w:r>
    </w:p>
    <w:p>
      <w:pPr>
        <w:pStyle w:val="33"/>
        <w:spacing w:before="240" w:after="240"/>
        <w:rPr>
          <w:rFonts w:hint="eastAsia"/>
          <w:szCs w:val="21"/>
        </w:rPr>
      </w:pPr>
      <w:bookmarkStart w:id="53" w:name="_Toc79045639"/>
      <w:bookmarkEnd w:id="53"/>
      <w:bookmarkStart w:id="54" w:name="_Toc268249089"/>
      <w:bookmarkStart w:id="55" w:name="_Toc9454"/>
      <w:bookmarkStart w:id="56" w:name="_Toc8542"/>
      <w:bookmarkStart w:id="57" w:name="_Toc1769"/>
      <w:bookmarkStart w:id="58" w:name="_Toc265512176"/>
      <w:bookmarkStart w:id="59" w:name="_Toc79504501"/>
      <w:bookmarkStart w:id="60" w:name="_Toc272179755"/>
      <w:bookmarkStart w:id="61" w:name="_Toc13364"/>
      <w:r>
        <w:rPr>
          <w:rFonts w:hint="eastAsia"/>
          <w:szCs w:val="21"/>
        </w:rPr>
        <w:t>术语和定义</w:t>
      </w:r>
      <w:bookmarkEnd w:id="26"/>
      <w:bookmarkEnd w:id="54"/>
      <w:bookmarkEnd w:id="55"/>
      <w:bookmarkEnd w:id="56"/>
      <w:bookmarkEnd w:id="57"/>
      <w:bookmarkEnd w:id="58"/>
      <w:bookmarkEnd w:id="59"/>
      <w:bookmarkEnd w:id="60"/>
      <w:bookmarkEnd w:id="61"/>
    </w:p>
    <w:sdt>
      <w:sdtPr>
        <w:id w:val="-1909835108"/>
        <w:placeholder>
          <w:docPart w:val="{20d2f1c8-e2ed-4978-8d77-638ac4eaa64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19"/>
            <w:ind w:firstLine="420"/>
          </w:pPr>
          <w:bookmarkStart w:id="62" w:name="_Toc26986532"/>
          <w:bookmarkEnd w:id="62"/>
          <w:r>
            <w:rPr>
              <w:rFonts w:hint="eastAsia" w:ascii="宋体" w:hAnsi="Times New Roman" w:eastAsia="宋体" w:cs="Times New Roman"/>
              <w:sz w:val="21"/>
              <w:lang w:val="en-US" w:eastAsia="zh-CN" w:bidi="ar-SA"/>
            </w:rPr>
            <w:t>GB 50171</w:t>
          </w:r>
          <w:r>
            <w:rPr>
              <w:rFonts w:ascii="宋体" w:hAnsi="Times New Roman" w:eastAsia="宋体" w:cs="Times New Roman"/>
              <w:sz w:val="21"/>
              <w:lang w:val="en-US" w:eastAsia="zh-CN" w:bidi="ar-SA"/>
            </w:rPr>
            <w:t>界定的以及下列术语和定义适用于本文件。</w:t>
          </w:r>
        </w:p>
      </w:sdtContent>
    </w:sdt>
    <w:p>
      <w:pPr>
        <w:pStyle w:val="34"/>
        <w:ind w:left="420" w:hanging="420" w:hangingChars="200"/>
        <w:rPr>
          <w:rFonts w:ascii="黑体" w:hAnsi="黑体" w:eastAsia="黑体" w:cs="黑体"/>
        </w:rPr>
      </w:pPr>
      <w:r>
        <w:rPr>
          <w:rFonts w:ascii="黑体" w:hAnsi="黑体" w:eastAsia="黑体"/>
        </w:rPr>
        <w:br w:type="textWrapping"/>
      </w:r>
      <w:r>
        <w:rPr>
          <w:rFonts w:hint="eastAsia" w:ascii="黑体" w:hAnsi="黑体" w:eastAsia="黑体" w:cs="黑体"/>
        </w:rPr>
        <w:t>小母线</w:t>
      </w:r>
      <w:r>
        <w:rPr>
          <w:rFonts w:hint="eastAsia" w:ascii="黑体" w:hAnsi="黑体" w:eastAsia="黑体" w:cs="黑体"/>
          <w:lang w:val="en-US" w:eastAsia="zh-CN"/>
        </w:rPr>
        <w:t xml:space="preserve"> </w:t>
      </w:r>
      <w:r>
        <w:rPr>
          <w:rFonts w:hint="eastAsia" w:ascii="黑体" w:hAnsi="黑体" w:eastAsia="黑体" w:cs="黑体"/>
        </w:rPr>
        <w:t xml:space="preserve"> mini</w:t>
      </w:r>
      <w:r>
        <w:rPr>
          <w:rFonts w:hint="eastAsia" w:ascii="黑体" w:hAnsi="黑体" w:eastAsia="黑体" w:cs="黑体"/>
          <w:lang w:val="en-US" w:eastAsia="zh-CN"/>
        </w:rPr>
        <w:t xml:space="preserve"> </w:t>
      </w:r>
      <w:r>
        <w:rPr>
          <w:rFonts w:hint="eastAsia" w:ascii="黑体" w:hAnsi="黑体" w:eastAsia="黑体" w:cs="黑体"/>
        </w:rPr>
        <w:t>bus bar</w:t>
      </w:r>
    </w:p>
    <w:p>
      <w:pPr>
        <w:pStyle w:val="19"/>
        <w:ind w:firstLine="420"/>
      </w:pPr>
      <w:r>
        <w:rPr>
          <w:rFonts w:hint="eastAsia" w:ascii="Times New Roman" w:hAnsi="Times New Roman" w:eastAsia="宋体" w:cs="Times New Roman"/>
        </w:rPr>
        <w:t>控制屏或继电器屏安装的二次接线公共连接点的导体。</w:t>
      </w:r>
    </w:p>
    <w:p>
      <w:pPr>
        <w:pStyle w:val="34"/>
        <w:ind w:left="420" w:hanging="420" w:hangingChars="200"/>
        <w:rPr>
          <w:rFonts w:hint="eastAsia" w:ascii="黑体" w:hAnsi="黑体" w:eastAsia="黑体" w:cs="黑体"/>
        </w:rPr>
      </w:pPr>
      <w:r>
        <w:rPr>
          <w:rFonts w:ascii="黑体" w:hAnsi="黑体" w:eastAsia="黑体"/>
        </w:rPr>
        <w:br w:type="textWrapping"/>
      </w:r>
      <w:r>
        <w:rPr>
          <w:rFonts w:hint="eastAsia" w:ascii="黑体" w:hAnsi="黑体" w:eastAsia="黑体" w:cs="黑体"/>
        </w:rPr>
        <w:t xml:space="preserve">端子排 </w:t>
      </w:r>
      <w:r>
        <w:rPr>
          <w:rFonts w:hint="eastAsia" w:ascii="黑体" w:hAnsi="黑体" w:eastAsia="黑体" w:cs="黑体"/>
          <w:lang w:val="en-US" w:eastAsia="zh-CN"/>
        </w:rPr>
        <w:t xml:space="preserve"> </w:t>
      </w:r>
      <w:r>
        <w:rPr>
          <w:rFonts w:hint="eastAsia" w:ascii="黑体" w:hAnsi="黑体" w:eastAsia="黑体" w:cs="黑体"/>
        </w:rPr>
        <w:t>terminal block</w:t>
      </w:r>
    </w:p>
    <w:p>
      <w:pPr>
        <w:pStyle w:val="19"/>
        <w:ind w:firstLine="420"/>
        <w:rPr>
          <w:rFonts w:hint="eastAsia" w:ascii="Times New Roman" w:hAnsi="Times New Roman" w:eastAsia="宋体" w:cs="Times New Roman"/>
        </w:rPr>
      </w:pPr>
      <w:r>
        <w:rPr>
          <w:rFonts w:hint="eastAsia" w:ascii="Times New Roman" w:hAnsi="Times New Roman" w:eastAsia="宋体" w:cs="Times New Roman"/>
        </w:rPr>
        <w:t>用以连接和固定电缆芯线终端或二次设备间连线端头的连接器件。</w:t>
      </w:r>
    </w:p>
    <w:p>
      <w:pPr>
        <w:pStyle w:val="34"/>
        <w:ind w:left="420" w:hanging="420" w:hangingChars="200"/>
        <w:rPr>
          <w:rFonts w:hint="eastAsia" w:ascii="黑体" w:hAnsi="黑体" w:eastAsia="黑体" w:cs="黑体"/>
        </w:rPr>
      </w:pPr>
      <w:r>
        <w:rPr>
          <w:rFonts w:ascii="黑体" w:hAnsi="黑体" w:eastAsia="黑体"/>
        </w:rPr>
        <w:br w:type="textWrapping"/>
      </w:r>
      <w:r>
        <w:rPr>
          <w:rFonts w:hint="default" w:ascii="黑体" w:hAnsi="黑体" w:eastAsia="黑体" w:cs="黑体"/>
          <w:lang w:val="en-US" w:eastAsia="zh-CN"/>
        </w:rPr>
        <w:t xml:space="preserve">盘、柜 </w:t>
      </w:r>
      <w:r>
        <w:rPr>
          <w:rFonts w:hint="eastAsia" w:ascii="黑体" w:hAnsi="黑体" w:eastAsia="黑体" w:cs="黑体"/>
          <w:lang w:val="en-US" w:eastAsia="zh-CN"/>
        </w:rPr>
        <w:t xml:space="preserve"> </w:t>
      </w:r>
      <w:r>
        <w:rPr>
          <w:rFonts w:hint="default" w:ascii="黑体" w:hAnsi="黑体" w:eastAsia="黑体" w:cs="黑体"/>
          <w:lang w:val="en-US" w:eastAsia="zh-CN"/>
        </w:rPr>
        <w:t>switchboard outfit complete cubicle</w:t>
      </w:r>
    </w:p>
    <w:p>
      <w:pPr>
        <w:pStyle w:val="19"/>
        <w:ind w:firstLine="420"/>
        <w:rPr>
          <w:rFonts w:hint="default" w:ascii="Times New Roman" w:hAnsi="Times New Roman" w:eastAsia="宋体" w:cs="Times New Roman"/>
          <w:lang w:val="en-US"/>
        </w:rPr>
      </w:pPr>
      <w:r>
        <w:rPr>
          <w:rFonts w:hint="default" w:ascii="Times New Roman" w:hAnsi="Times New Roman" w:eastAsia="宋体" w:cs="Times New Roman"/>
          <w:lang w:val="en-US" w:eastAsia="zh-CN"/>
        </w:rPr>
        <w:t>指各类配电盘</w:t>
      </w:r>
      <w:r>
        <w:rPr>
          <w:rFonts w:hint="eastAsia" w:ascii="Times New Roman" w:cs="Times New Roman"/>
          <w:lang w:val="en-US" w:eastAsia="zh-CN"/>
        </w:rPr>
        <w:t>、</w:t>
      </w:r>
      <w:r>
        <w:rPr>
          <w:rFonts w:hint="default" w:ascii="Times New Roman" w:hAnsi="Times New Roman" w:eastAsia="宋体" w:cs="Times New Roman"/>
          <w:lang w:val="en-US" w:eastAsia="zh-CN"/>
        </w:rPr>
        <w:t>保护盘</w:t>
      </w:r>
      <w:r>
        <w:rPr>
          <w:rFonts w:hint="eastAsia" w:ascii="Times New Roman" w:cs="Times New Roman"/>
          <w:lang w:val="en-US" w:eastAsia="zh-CN"/>
        </w:rPr>
        <w:t>、</w:t>
      </w:r>
      <w:r>
        <w:rPr>
          <w:rFonts w:hint="default" w:ascii="Times New Roman" w:hAnsi="Times New Roman" w:eastAsia="宋体" w:cs="Times New Roman"/>
          <w:lang w:val="en-US" w:eastAsia="zh-CN"/>
        </w:rPr>
        <w:t>控制盘、屏、台、箱和成套柜</w:t>
      </w:r>
      <w:r>
        <w:rPr>
          <w:rFonts w:hint="eastAsia" w:ascii="Times New Roman" w:hAnsi="Times New Roman" w:eastAsia="宋体" w:cs="Times New Roman"/>
          <w:lang w:val="en-US" w:eastAsia="zh-CN"/>
        </w:rPr>
        <w:t>。</w:t>
      </w:r>
    </w:p>
    <w:p>
      <w:pPr>
        <w:pStyle w:val="34"/>
        <w:ind w:left="420" w:hanging="420" w:hangingChars="200"/>
        <w:rPr>
          <w:rFonts w:hint="eastAsia" w:ascii="黑体" w:hAnsi="黑体" w:eastAsia="黑体" w:cs="黑体"/>
        </w:rPr>
      </w:pPr>
      <w:r>
        <w:rPr>
          <w:rFonts w:ascii="黑体" w:hAnsi="黑体" w:eastAsia="黑体"/>
        </w:rPr>
        <w:br w:type="textWrapping"/>
      </w:r>
      <w:r>
        <w:rPr>
          <w:rFonts w:hint="default" w:ascii="黑体" w:hAnsi="黑体" w:eastAsia="黑体" w:cs="黑体"/>
          <w:lang w:val="en-US" w:eastAsia="zh-CN"/>
        </w:rPr>
        <w:t>二次回路</w:t>
      </w:r>
      <w:r>
        <w:rPr>
          <w:rFonts w:hint="eastAsia" w:ascii="黑体" w:hAnsi="黑体" w:eastAsia="黑体" w:cs="黑体"/>
          <w:lang w:val="en-US" w:eastAsia="zh-CN"/>
        </w:rPr>
        <w:t xml:space="preserve"> </w:t>
      </w:r>
      <w:r>
        <w:rPr>
          <w:rFonts w:hint="default" w:ascii="黑体" w:hAnsi="黑体" w:eastAsia="黑体" w:cs="黑体"/>
          <w:lang w:val="en-US" w:eastAsia="zh-CN"/>
        </w:rPr>
        <w:t xml:space="preserve"> secondary circuit</w:t>
      </w:r>
    </w:p>
    <w:p>
      <w:pPr>
        <w:pStyle w:val="19"/>
        <w:ind w:firstLine="420"/>
        <w:rPr>
          <w:rFonts w:hint="eastAsia" w:ascii="Times New Roman" w:hAnsi="Times New Roman" w:eastAsia="宋体" w:cs="Times New Roman"/>
        </w:rPr>
      </w:pPr>
      <w:r>
        <w:rPr>
          <w:rFonts w:hint="default" w:ascii="Times New Roman" w:hAnsi="Times New Roman" w:eastAsia="宋体" w:cs="Times New Roman"/>
          <w:lang w:val="en-US" w:eastAsia="zh-CN"/>
        </w:rPr>
        <w:t>电气设备的操作、保护、测量、信号等回路及回路中操动机构的线圈、接触器、继电器、仪表、互感器二次绕组等。</w:t>
      </w:r>
    </w:p>
    <w:p>
      <w:pPr>
        <w:pStyle w:val="34"/>
        <w:ind w:left="420" w:hanging="420" w:hangingChars="200"/>
        <w:rPr>
          <w:rFonts w:hint="eastAsia" w:ascii="黑体" w:hAnsi="黑体" w:eastAsia="黑体" w:cs="黑体"/>
        </w:rPr>
      </w:pPr>
      <w:r>
        <w:rPr>
          <w:rFonts w:ascii="黑体" w:hAnsi="黑体" w:eastAsia="黑体"/>
        </w:rPr>
        <w:br w:type="textWrapping"/>
      </w:r>
      <w:r>
        <w:rPr>
          <w:rFonts w:hint="default" w:ascii="黑体" w:hAnsi="黑体" w:eastAsia="黑体" w:cs="黑体"/>
          <w:lang w:val="en-US" w:eastAsia="zh-CN"/>
        </w:rPr>
        <w:t>端子</w:t>
      </w:r>
      <w:r>
        <w:rPr>
          <w:rFonts w:hint="eastAsia" w:ascii="黑体" w:hAnsi="黑体" w:eastAsia="黑体" w:cs="黑体"/>
          <w:lang w:val="en-US" w:eastAsia="zh-CN"/>
        </w:rPr>
        <w:t xml:space="preserve">  terminal</w:t>
      </w:r>
    </w:p>
    <w:p>
      <w:pPr>
        <w:pStyle w:val="19"/>
        <w:ind w:firstLine="420"/>
        <w:rPr>
          <w:rFonts w:hint="default" w:ascii="Times New Roman" w:hAnsi="Times New Roman" w:eastAsia="宋体" w:cs="Times New Roman"/>
          <w:lang w:val="en-US"/>
        </w:rPr>
      </w:pPr>
      <w:r>
        <w:rPr>
          <w:rFonts w:hint="default" w:ascii="Times New Roman" w:hAnsi="Times New Roman" w:eastAsia="宋体" w:cs="Times New Roman"/>
          <w:lang w:val="en-US" w:eastAsia="zh-CN"/>
        </w:rPr>
        <w:t>连接装置和外部导体的元件</w:t>
      </w:r>
      <w:r>
        <w:rPr>
          <w:rFonts w:hint="eastAsia" w:ascii="Times New Roman" w:hAnsi="Times New Roman" w:eastAsia="宋体" w:cs="Times New Roman"/>
          <w:lang w:val="en-US" w:eastAsia="zh-CN"/>
        </w:rPr>
        <w:t>。</w:t>
      </w:r>
    </w:p>
    <w:p>
      <w:pPr>
        <w:pStyle w:val="34"/>
        <w:ind w:left="420" w:hanging="420" w:hangingChars="200"/>
        <w:rPr>
          <w:rFonts w:hint="eastAsia" w:ascii="黑体" w:hAnsi="黑体" w:eastAsia="黑体" w:cs="黑体"/>
        </w:rPr>
      </w:pPr>
      <w:r>
        <w:rPr>
          <w:rFonts w:ascii="黑体" w:hAnsi="黑体" w:eastAsia="黑体"/>
        </w:rPr>
        <w:br w:type="textWrapping"/>
      </w:r>
      <w:r>
        <w:rPr>
          <w:rFonts w:hint="eastAsia" w:ascii="黑体" w:hAnsi="黑体" w:eastAsia="黑体" w:cs="黑体"/>
          <w:lang w:val="en-US" w:eastAsia="zh-CN"/>
        </w:rPr>
        <w:t xml:space="preserve">接地  </w:t>
      </w:r>
      <w:r>
        <w:rPr>
          <w:rFonts w:hint="default" w:ascii="黑体" w:hAnsi="黑体" w:eastAsia="黑体" w:cs="黑体"/>
          <w:lang w:val="en-US" w:eastAsia="zh-CN"/>
        </w:rPr>
        <w:t>grounded</w:t>
      </w:r>
    </w:p>
    <w:p>
      <w:pPr>
        <w:pStyle w:val="19"/>
        <w:ind w:firstLine="420"/>
        <w:rPr>
          <w:rFonts w:hint="eastAsia" w:ascii="Times New Roman" w:hAnsi="Times New Roman" w:eastAsia="宋体" w:cs="Times New Roman"/>
        </w:rPr>
      </w:pPr>
      <w:r>
        <w:rPr>
          <w:rFonts w:hint="default" w:ascii="Times New Roman" w:hAnsi="Times New Roman" w:eastAsia="宋体" w:cs="Times New Roman"/>
          <w:lang w:val="en-US" w:eastAsia="zh-CN"/>
        </w:rPr>
        <w:t>将电力系统或建筑物电气装置、设施过电压保护装置用接地线与接地体的连接</w:t>
      </w:r>
      <w:r>
        <w:rPr>
          <w:rFonts w:hint="eastAsia" w:ascii="Times New Roman" w:hAnsi="Times New Roman" w:eastAsia="宋体" w:cs="Times New Roman"/>
        </w:rPr>
        <w:t>。</w:t>
      </w:r>
    </w:p>
    <w:p>
      <w:pPr>
        <w:pStyle w:val="34"/>
        <w:ind w:left="420" w:hanging="420" w:hangingChars="200"/>
        <w:rPr>
          <w:rFonts w:hint="eastAsia" w:ascii="黑体" w:hAnsi="黑体" w:eastAsia="黑体" w:cs="黑体"/>
        </w:rPr>
      </w:pPr>
      <w:r>
        <w:rPr>
          <w:rFonts w:ascii="黑体" w:hAnsi="黑体" w:eastAsia="黑体"/>
        </w:rPr>
        <w:br w:type="textWrapping"/>
      </w:r>
      <w:r>
        <w:rPr>
          <w:rFonts w:hint="default" w:ascii="黑体" w:hAnsi="黑体" w:eastAsia="黑体" w:cs="黑体"/>
          <w:lang w:val="en-US" w:eastAsia="zh-CN"/>
        </w:rPr>
        <w:t>保护接地</w:t>
      </w:r>
      <w:r>
        <w:rPr>
          <w:rFonts w:hint="eastAsia" w:ascii="黑体" w:hAnsi="黑体" w:eastAsia="黑体" w:cs="黑体"/>
          <w:lang w:val="en-US" w:eastAsia="zh-CN"/>
        </w:rPr>
        <w:t xml:space="preserve"> </w:t>
      </w:r>
      <w:r>
        <w:rPr>
          <w:rFonts w:hint="default" w:ascii="黑体" w:hAnsi="黑体" w:eastAsia="黑体" w:cs="黑体"/>
          <w:lang w:val="en-US" w:eastAsia="zh-CN"/>
        </w:rPr>
        <w:t xml:space="preserve"> protective ground</w:t>
      </w:r>
    </w:p>
    <w:p>
      <w:pPr>
        <w:pStyle w:val="19"/>
        <w:ind w:firstLine="420"/>
        <w:rPr>
          <w:rFonts w:hint="eastAsia" w:ascii="Times New Roman" w:hAnsi="Times New Roman" w:eastAsia="宋体" w:cs="Times New Roman"/>
        </w:rPr>
      </w:pPr>
      <w:r>
        <w:rPr>
          <w:rFonts w:hint="default" w:ascii="Times New Roman" w:hAnsi="Times New Roman" w:eastAsia="宋体" w:cs="Times New Roman"/>
          <w:lang w:val="en-US" w:eastAsia="zh-CN"/>
        </w:rPr>
        <w:t>中性点直接接地的低压电力网中</w:t>
      </w:r>
      <w:r>
        <w:rPr>
          <w:rFonts w:hint="eastAsia" w:ascii="Times New Roman" w:cs="Times New Roman"/>
          <w:lang w:val="en-US" w:eastAsia="zh-CN"/>
        </w:rPr>
        <w:t>，</w:t>
      </w:r>
      <w:r>
        <w:rPr>
          <w:rFonts w:hint="default" w:ascii="Times New Roman" w:hAnsi="Times New Roman" w:eastAsia="宋体" w:cs="Times New Roman"/>
          <w:lang w:val="en-US" w:eastAsia="zh-CN"/>
        </w:rPr>
        <w:t>电气设备外壳与保护零线的连接。</w:t>
      </w:r>
    </w:p>
    <w:p>
      <w:pPr>
        <w:pStyle w:val="34"/>
        <w:ind w:left="420" w:hanging="420" w:hangingChars="200"/>
        <w:rPr>
          <w:rFonts w:hint="eastAsia" w:ascii="黑体" w:hAnsi="黑体" w:eastAsia="黑体" w:cs="黑体"/>
        </w:rPr>
      </w:pPr>
      <w:r>
        <w:rPr>
          <w:rFonts w:ascii="黑体" w:hAnsi="黑体" w:eastAsia="黑体"/>
        </w:rPr>
        <w:br w:type="textWrapping"/>
      </w:r>
      <w:r>
        <w:rPr>
          <w:rFonts w:hint="default" w:ascii="黑体" w:hAnsi="黑体" w:eastAsia="黑体" w:cs="黑体"/>
          <w:lang w:val="en-US" w:eastAsia="zh-CN"/>
        </w:rPr>
        <w:t>工作接地</w:t>
      </w:r>
      <w:r>
        <w:rPr>
          <w:rFonts w:hint="eastAsia" w:ascii="黑体" w:hAnsi="黑体" w:eastAsia="黑体" w:cs="黑体"/>
          <w:lang w:val="en-US" w:eastAsia="zh-CN"/>
        </w:rPr>
        <w:t xml:space="preserve">  </w:t>
      </w:r>
      <w:r>
        <w:rPr>
          <w:rFonts w:hint="default" w:ascii="黑体" w:hAnsi="黑体" w:eastAsia="黑体" w:cs="黑体"/>
          <w:lang w:val="en-US" w:eastAsia="zh-CN"/>
        </w:rPr>
        <w:t>working ground</w:t>
      </w:r>
    </w:p>
    <w:p>
      <w:pPr>
        <w:pStyle w:val="19"/>
        <w:ind w:firstLine="420"/>
        <w:rPr>
          <w:rFonts w:hint="eastAsia" w:ascii="Times New Roman" w:hAnsi="Times New Roman" w:eastAsia="宋体" w:cs="Times New Roman"/>
        </w:rPr>
      </w:pPr>
      <w:r>
        <w:rPr>
          <w:rFonts w:hint="default" w:ascii="Times New Roman" w:hAnsi="Times New Roman" w:eastAsia="宋体" w:cs="Times New Roman"/>
          <w:lang w:val="en-US" w:eastAsia="zh-CN"/>
        </w:rPr>
        <w:t>电气装置中</w:t>
      </w:r>
      <w:r>
        <w:rPr>
          <w:rFonts w:hint="eastAsia" w:ascii="Times New Roman" w:cs="Times New Roman"/>
          <w:lang w:val="en-US" w:eastAsia="zh-CN"/>
        </w:rPr>
        <w:t>，</w:t>
      </w:r>
      <w:r>
        <w:rPr>
          <w:rFonts w:hint="default" w:ascii="Times New Roman" w:hAnsi="Times New Roman" w:eastAsia="宋体" w:cs="Times New Roman"/>
          <w:lang w:val="en-US" w:eastAsia="zh-CN"/>
        </w:rPr>
        <w:t>为运行需要所设的接地</w:t>
      </w:r>
      <w:r>
        <w:rPr>
          <w:rFonts w:hint="eastAsia" w:ascii="Times New Roman" w:hAnsi="Times New Roman" w:eastAsia="宋体" w:cs="Times New Roman"/>
          <w:lang w:val="en-US" w:eastAsia="zh-CN"/>
        </w:rPr>
        <w:t>。</w:t>
      </w:r>
    </w:p>
    <w:p>
      <w:pPr>
        <w:pStyle w:val="33"/>
        <w:spacing w:before="240" w:after="240"/>
      </w:pPr>
      <w:bookmarkStart w:id="63" w:name="_Toc19789"/>
      <w:r>
        <w:rPr>
          <w:rFonts w:hint="eastAsia" w:ascii="Times New Roman"/>
          <w:b w:val="0"/>
          <w:bCs/>
          <w:lang w:val="en-US" w:eastAsia="zh-CN"/>
        </w:rPr>
        <w:t>通用要求</w:t>
      </w:r>
      <w:bookmarkEnd w:id="63"/>
    </w:p>
    <w:p>
      <w:pPr>
        <w:pStyle w:val="36"/>
        <w:spacing w:before="120" w:after="120"/>
      </w:pPr>
      <w:bookmarkStart w:id="64" w:name="_Toc8226"/>
      <w:bookmarkStart w:id="65" w:name="_Toc3653"/>
      <w:bookmarkStart w:id="66" w:name="_Toc21199"/>
      <w:bookmarkStart w:id="67" w:name="_Toc1734"/>
      <w:r>
        <w:rPr>
          <w:rFonts w:hint="eastAsia" w:ascii="Times New Roman" w:hAnsi="Times New Roman" w:cs="Times New Roman"/>
          <w:b w:val="0"/>
          <w:bCs/>
          <w:lang w:eastAsia="zh-CN"/>
        </w:rPr>
        <w:t>反措要求</w:t>
      </w:r>
      <w:bookmarkEnd w:id="64"/>
      <w:bookmarkEnd w:id="65"/>
      <w:bookmarkEnd w:id="66"/>
      <w:bookmarkEnd w:id="67"/>
    </w:p>
    <w:p>
      <w:pPr>
        <w:pStyle w:val="37"/>
        <w:spacing w:before="120" w:after="120"/>
        <w:rPr>
          <w:rFonts w:hint="eastAsia" w:ascii="黑体" w:hAnsi="黑体" w:eastAsia="黑体" w:cs="黑体"/>
        </w:rPr>
      </w:pPr>
      <w:r>
        <w:rPr>
          <w:rFonts w:hint="eastAsia" w:ascii="黑体" w:hAnsi="黑体" w:eastAsia="黑体" w:cs="黑体"/>
          <w:lang w:val="en-US" w:eastAsia="zh-CN"/>
        </w:rPr>
        <w:t>配置原则</w:t>
      </w:r>
    </w:p>
    <w:p>
      <w:pPr>
        <w:pStyle w:val="19"/>
        <w:rPr>
          <w:rFonts w:hint="default" w:eastAsia="宋体"/>
          <w:lang w:val="en-US" w:eastAsia="zh-CN"/>
        </w:rPr>
      </w:pPr>
      <w:r>
        <w:rPr>
          <w:rFonts w:hint="eastAsia"/>
          <w:lang w:val="en-US" w:eastAsia="zh-CN"/>
        </w:rPr>
        <w:t>光伏电站二次回路配置原则相关要求如下：</w:t>
      </w:r>
    </w:p>
    <w:p>
      <w:pPr>
        <w:pStyle w:val="38"/>
        <w:rPr>
          <w:rFonts w:hint="eastAsia" w:ascii="宋体" w:hAnsi="宋体" w:eastAsia="宋体" w:cs="宋体"/>
        </w:rPr>
      </w:pPr>
      <w:r>
        <w:rPr>
          <w:rFonts w:hint="eastAsia" w:ascii="宋体" w:hAnsi="宋体" w:eastAsia="宋体" w:cs="宋体"/>
          <w:lang w:eastAsia="zh-CN"/>
        </w:rPr>
        <w:t>采用双重化配置的</w:t>
      </w:r>
      <w:r>
        <w:rPr>
          <w:rFonts w:hint="eastAsia" w:ascii="宋体" w:hAnsi="宋体" w:eastAsia="宋体" w:cs="宋体"/>
        </w:rPr>
        <w:t>两套保护装置的交流电流应分别取自</w:t>
      </w:r>
      <w:r>
        <w:rPr>
          <w:rFonts w:hint="eastAsia" w:hAnsi="宋体" w:cs="宋体"/>
          <w:lang w:val="en-US" w:eastAsia="zh-CN"/>
        </w:rPr>
        <w:t>电流互感器（Current Transformer，以下简称“CT”）</w:t>
      </w:r>
      <w:r>
        <w:rPr>
          <w:rFonts w:hint="eastAsia" w:ascii="宋体" w:hAnsi="宋体" w:eastAsia="宋体" w:cs="宋体"/>
        </w:rPr>
        <w:t>互相独立的绕组；交流电压应分别取自</w:t>
      </w:r>
      <w:r>
        <w:rPr>
          <w:rFonts w:hint="eastAsia" w:hAnsi="宋体" w:cs="宋体"/>
          <w:lang w:val="en-US" w:eastAsia="zh-CN"/>
        </w:rPr>
        <w:t>电压互感器（Potential Transformer，以下简称“PT</w:t>
      </w:r>
      <w:r>
        <w:rPr>
          <w:rFonts w:hint="default" w:hAnsi="宋体" w:cs="宋体"/>
          <w:lang w:val="en-US" w:eastAsia="zh-CN"/>
        </w:rPr>
        <w:t>”</w:t>
      </w:r>
      <w:r>
        <w:rPr>
          <w:rFonts w:hint="eastAsia" w:hAnsi="宋体" w:cs="宋体"/>
          <w:lang w:val="en-US" w:eastAsia="zh-CN"/>
        </w:rPr>
        <w:t>）</w:t>
      </w:r>
      <w:r>
        <w:rPr>
          <w:rFonts w:hint="eastAsia" w:ascii="宋体" w:hAnsi="宋体" w:eastAsia="宋体" w:cs="宋体"/>
        </w:rPr>
        <w:t>互相独立的绕组。其保护范围应交叉重叠，避免死区</w:t>
      </w:r>
      <w:r>
        <w:rPr>
          <w:rFonts w:hint="eastAsia" w:ascii="宋体" w:hAnsi="宋体" w:eastAsia="宋体" w:cs="宋体"/>
          <w:lang w:eastAsia="zh-CN"/>
        </w:rPr>
        <w:t>。</w:t>
      </w:r>
      <w:r>
        <w:rPr>
          <w:rFonts w:hint="eastAsia" w:ascii="宋体" w:hAnsi="宋体" w:eastAsia="宋体" w:cs="宋体"/>
        </w:rPr>
        <w:t>对原设计中</w:t>
      </w:r>
      <w:r>
        <w:rPr>
          <w:rFonts w:hint="eastAsia" w:ascii="宋体" w:hAnsi="宋体" w:eastAsia="宋体" w:cs="宋体"/>
          <w:lang w:val="en-US" w:eastAsia="zh-CN"/>
        </w:rPr>
        <w:t>PT</w:t>
      </w:r>
      <w:r>
        <w:rPr>
          <w:rFonts w:hint="eastAsia" w:ascii="宋体" w:hAnsi="宋体" w:eastAsia="宋体" w:cs="宋体"/>
        </w:rPr>
        <w:t>仅有一组二次绕组，且已经投运的</w:t>
      </w:r>
      <w:r>
        <w:rPr>
          <w:rFonts w:hint="eastAsia" w:hAnsi="宋体" w:cs="宋体"/>
          <w:lang w:val="en-US" w:eastAsia="zh-CN"/>
        </w:rPr>
        <w:t>光伏电站</w:t>
      </w:r>
      <w:r>
        <w:rPr>
          <w:rFonts w:hint="eastAsia" w:ascii="宋体" w:hAnsi="宋体" w:eastAsia="宋体" w:cs="宋体"/>
        </w:rPr>
        <w:t>，宜</w:t>
      </w:r>
      <w:r>
        <w:rPr>
          <w:rFonts w:hint="eastAsia" w:hAnsi="宋体" w:cs="宋体"/>
          <w:lang w:eastAsia="zh-CN"/>
        </w:rPr>
        <w:t>进行</w:t>
      </w:r>
      <w:r>
        <w:rPr>
          <w:rFonts w:hint="eastAsia" w:ascii="宋体" w:hAnsi="宋体" w:eastAsia="宋体" w:cs="宋体"/>
          <w:lang w:val="en-US" w:eastAsia="zh-CN"/>
        </w:rPr>
        <w:t>PT</w:t>
      </w:r>
      <w:r>
        <w:rPr>
          <w:rFonts w:hint="eastAsia" w:ascii="宋体" w:hAnsi="宋体" w:eastAsia="宋体" w:cs="宋体"/>
        </w:rPr>
        <w:t>的更新改造工作，改造完成前，应在开关场的</w:t>
      </w:r>
      <w:r>
        <w:rPr>
          <w:rFonts w:hint="eastAsia" w:ascii="宋体" w:hAnsi="宋体" w:eastAsia="宋体" w:cs="宋体"/>
          <w:lang w:val="en-US" w:eastAsia="zh-CN"/>
        </w:rPr>
        <w:t>PT</w:t>
      </w:r>
      <w:r>
        <w:rPr>
          <w:rFonts w:hint="eastAsia" w:ascii="宋体" w:hAnsi="宋体" w:eastAsia="宋体" w:cs="宋体"/>
        </w:rPr>
        <w:t>端子箱处，利用具有短路跳闸功能的两组分相空气开关将按双重化配置的两套保护装置交流电压回路分开</w:t>
      </w:r>
      <w:r>
        <w:rPr>
          <w:rFonts w:hint="eastAsia" w:ascii="宋体" w:hAnsi="宋体" w:eastAsia="宋体" w:cs="宋体"/>
          <w:lang w:eastAsia="zh-CN"/>
        </w:rPr>
        <w:t>。</w:t>
      </w:r>
    </w:p>
    <w:p>
      <w:pPr>
        <w:pStyle w:val="38"/>
        <w:rPr>
          <w:rFonts w:hint="eastAsia" w:ascii="宋体" w:hAnsi="宋体" w:eastAsia="宋体" w:cs="宋体"/>
        </w:rPr>
      </w:pPr>
      <w:r>
        <w:rPr>
          <w:rFonts w:hint="eastAsia" w:ascii="宋体" w:hAnsi="宋体" w:eastAsia="宋体" w:cs="宋体"/>
          <w:b w:val="0"/>
          <w:bCs/>
        </w:rPr>
        <w:t>双重化配置的两套保护装置之间不应有电气联系。与其他保护、设备（如通道、失灵保护等）配合的回路应遵循相互独立且相互对应的原则，防止因交叉停用导致保护功能的缺失。</w:t>
      </w:r>
    </w:p>
    <w:p>
      <w:pPr>
        <w:pStyle w:val="38"/>
        <w:rPr>
          <w:rFonts w:hint="eastAsia" w:ascii="宋体" w:hAnsi="宋体" w:eastAsia="宋体" w:cs="宋体"/>
        </w:rPr>
      </w:pPr>
      <w:r>
        <w:rPr>
          <w:rFonts w:hint="eastAsia" w:ascii="宋体" w:hAnsi="宋体" w:eastAsia="宋体" w:cs="宋体"/>
          <w:b w:val="0"/>
          <w:bCs/>
        </w:rPr>
        <w:t>引入两组及以上</w:t>
      </w:r>
      <w:r>
        <w:rPr>
          <w:rFonts w:hint="eastAsia" w:ascii="宋体" w:hAnsi="宋体" w:eastAsia="宋体" w:cs="宋体"/>
          <w:b w:val="0"/>
          <w:bCs/>
          <w:lang w:val="en-US" w:eastAsia="zh-CN"/>
        </w:rPr>
        <w:t>CT</w:t>
      </w:r>
      <w:r>
        <w:rPr>
          <w:rFonts w:hint="eastAsia" w:ascii="宋体" w:hAnsi="宋体" w:eastAsia="宋体" w:cs="宋体"/>
          <w:b w:val="0"/>
          <w:bCs/>
        </w:rPr>
        <w:t>构成</w:t>
      </w:r>
      <w:r>
        <w:rPr>
          <w:rFonts w:hint="eastAsia" w:ascii="宋体" w:hAnsi="宋体" w:eastAsia="宋体" w:cs="宋体"/>
          <w:b w:val="0"/>
          <w:bCs/>
          <w:lang w:eastAsia="zh-CN"/>
        </w:rPr>
        <w:t>“和”</w:t>
      </w:r>
      <w:r>
        <w:rPr>
          <w:rFonts w:hint="eastAsia" w:ascii="宋体" w:hAnsi="宋体" w:eastAsia="宋体" w:cs="宋体"/>
          <w:b w:val="0"/>
          <w:bCs/>
        </w:rPr>
        <w:t>电流的保护装置，各组</w:t>
      </w:r>
      <w:r>
        <w:rPr>
          <w:rFonts w:hint="eastAsia" w:ascii="宋体" w:hAnsi="宋体" w:eastAsia="宋体" w:cs="宋体"/>
          <w:b w:val="0"/>
          <w:bCs/>
          <w:lang w:val="en-US" w:eastAsia="zh-CN"/>
        </w:rPr>
        <w:t>CT</w:t>
      </w:r>
      <w:r>
        <w:rPr>
          <w:rFonts w:hint="eastAsia" w:ascii="宋体" w:hAnsi="宋体" w:eastAsia="宋体" w:cs="宋体"/>
          <w:b w:val="0"/>
          <w:bCs/>
        </w:rPr>
        <w:t>应分别引入保护装置，不应通过装置外部回路形成</w:t>
      </w:r>
      <w:r>
        <w:rPr>
          <w:rFonts w:hint="eastAsia" w:ascii="宋体" w:hAnsi="宋体" w:eastAsia="宋体" w:cs="宋体"/>
          <w:b w:val="0"/>
          <w:bCs/>
          <w:lang w:eastAsia="zh-CN"/>
        </w:rPr>
        <w:t>“和”</w:t>
      </w:r>
      <w:r>
        <w:rPr>
          <w:rFonts w:hint="eastAsia" w:ascii="宋体" w:hAnsi="宋体" w:eastAsia="宋体" w:cs="宋体"/>
          <w:b w:val="0"/>
          <w:bCs/>
        </w:rPr>
        <w:t>电流。对已投入运行采用</w:t>
      </w:r>
      <w:r>
        <w:rPr>
          <w:rFonts w:hint="eastAsia" w:ascii="宋体" w:hAnsi="宋体" w:eastAsia="宋体" w:cs="宋体"/>
          <w:b w:val="0"/>
          <w:bCs/>
          <w:lang w:eastAsia="zh-CN"/>
        </w:rPr>
        <w:t>“和”</w:t>
      </w:r>
      <w:r>
        <w:rPr>
          <w:rFonts w:hint="eastAsia" w:ascii="宋体" w:hAnsi="宋体" w:eastAsia="宋体" w:cs="宋体"/>
          <w:b w:val="0"/>
          <w:bCs/>
        </w:rPr>
        <w:t>电流引入保护装置的，应结合设备运行评估情况，逐步技术改</w:t>
      </w:r>
      <w:r>
        <w:rPr>
          <w:rFonts w:hint="eastAsia" w:ascii="宋体" w:hAnsi="宋体" w:eastAsia="宋体" w:cs="宋体"/>
          <w:b w:val="0"/>
          <w:bCs/>
          <w:lang w:eastAsia="zh-CN"/>
        </w:rPr>
        <w:t>。</w:t>
      </w:r>
    </w:p>
    <w:p>
      <w:pPr>
        <w:pStyle w:val="38"/>
        <w:rPr>
          <w:rFonts w:hint="eastAsia" w:ascii="宋体" w:hAnsi="宋体" w:eastAsia="宋体" w:cs="宋体"/>
        </w:rPr>
      </w:pPr>
      <w:r>
        <w:rPr>
          <w:rFonts w:hint="eastAsia" w:ascii="宋体" w:hAnsi="宋体" w:eastAsia="宋体" w:cs="宋体"/>
          <w:b w:val="0"/>
          <w:bCs/>
        </w:rPr>
        <w:t>当保护采用双重化配置时，其电压切换箱（回路）隔离开关辅助触点宜采用单位置输入方式。单套配置保护的电压切换箱（回路）隔离开关辅助触点应采用双位置输入方式。双重化配置的保护当隔离开关辅助触点采用单位置输入方式时，电压切换直流电源与对应保护直流电源取自同一段直流母线且共用直流空气开关</w:t>
      </w:r>
      <w:r>
        <w:rPr>
          <w:rFonts w:hint="eastAsia" w:ascii="宋体" w:hAnsi="宋体" w:eastAsia="宋体" w:cs="宋体"/>
          <w:b w:val="0"/>
          <w:bCs/>
          <w:lang w:eastAsia="zh-CN"/>
        </w:rPr>
        <w:t>。</w:t>
      </w:r>
    </w:p>
    <w:p>
      <w:pPr>
        <w:pStyle w:val="38"/>
        <w:rPr>
          <w:rFonts w:hint="eastAsia" w:ascii="宋体" w:hAnsi="宋体" w:eastAsia="宋体" w:cs="宋体"/>
        </w:rPr>
      </w:pPr>
      <w:r>
        <w:rPr>
          <w:rFonts w:hint="eastAsia" w:ascii="宋体" w:hAnsi="宋体" w:eastAsia="宋体" w:cs="宋体"/>
          <w:b w:val="0"/>
          <w:bCs/>
        </w:rPr>
        <w:t>两套保护装置的跳闸回路应与断路器的两个跳闸线圈分别一一对应</w:t>
      </w:r>
      <w:r>
        <w:rPr>
          <w:rFonts w:hint="eastAsia" w:ascii="宋体" w:hAnsi="宋体" w:eastAsia="宋体" w:cs="宋体"/>
          <w:b w:val="0"/>
          <w:bCs/>
          <w:lang w:eastAsia="zh-CN"/>
        </w:rPr>
        <w:t>。</w:t>
      </w:r>
    </w:p>
    <w:p>
      <w:pPr>
        <w:pStyle w:val="38"/>
        <w:rPr>
          <w:rFonts w:hint="eastAsia" w:ascii="宋体" w:hAnsi="宋体" w:eastAsia="宋体" w:cs="宋体"/>
        </w:rPr>
      </w:pPr>
      <w:r>
        <w:rPr>
          <w:rFonts w:hint="eastAsia" w:ascii="宋体" w:hAnsi="宋体" w:eastAsia="宋体" w:cs="宋体"/>
          <w:b w:val="0"/>
          <w:bCs/>
        </w:rPr>
        <w:t>变压器、电抗器非电量保护应同时作用于断路器的两个跳闸线圈。未采用就地跳闸方式的变压器非电量保护应设置独立的电源回路（包括直流空气小开关及其直流电源监视回路）和出口跳闸回路，且必须与电气量保护完全分开。当变压器、电抗器采用就地跳闸方式时，应向监控系统发送动作信号。</w:t>
      </w:r>
    </w:p>
    <w:p>
      <w:pPr>
        <w:pStyle w:val="37"/>
        <w:spacing w:before="120" w:after="120"/>
        <w:rPr>
          <w:rFonts w:hint="eastAsia" w:ascii="黑体" w:hAnsi="黑体" w:eastAsia="黑体" w:cs="黑体"/>
        </w:rPr>
      </w:pPr>
      <w:r>
        <w:rPr>
          <w:rFonts w:hint="eastAsia" w:ascii="黑体" w:hAnsi="黑体" w:eastAsia="黑体" w:cs="黑体"/>
          <w:lang w:val="en-US" w:eastAsia="zh-CN"/>
        </w:rPr>
        <w:t>二次回路设计</w:t>
      </w:r>
    </w:p>
    <w:p>
      <w:pPr>
        <w:pStyle w:val="19"/>
        <w:rPr>
          <w:rFonts w:hint="eastAsia"/>
          <w:lang w:val="en-US"/>
        </w:rPr>
      </w:pPr>
      <w:r>
        <w:rPr>
          <w:rFonts w:hint="eastAsia" w:ascii="宋体" w:hAnsi="Times New Roman" w:eastAsia="宋体" w:cs="Times New Roman"/>
          <w:lang w:val="en-US" w:eastAsia="zh-CN"/>
        </w:rPr>
        <w:t>二次回路设计相关要求如下：</w:t>
      </w:r>
    </w:p>
    <w:p>
      <w:pPr>
        <w:pStyle w:val="38"/>
        <w:numPr>
          <w:ilvl w:val="0"/>
          <w:numId w:val="7"/>
        </w:numPr>
        <w:rPr>
          <w:rFonts w:hint="eastAsia" w:ascii="宋体" w:hAnsi="宋体" w:eastAsia="宋体" w:cs="宋体"/>
        </w:rPr>
      </w:pPr>
      <w:r>
        <w:rPr>
          <w:rFonts w:hint="eastAsia" w:ascii="宋体" w:hAnsi="宋体" w:eastAsia="宋体" w:cs="宋体"/>
          <w:b w:val="0"/>
          <w:bCs/>
        </w:rPr>
        <w:t>继电保护及相关设备的端子排，宜按照功能进行分区、分段布置，正、负电源之间、跳（合）闸引出线之间以及跳（合）闸引出线与正电源之间、交流电源与直流回路之间等应至少采用一个空端子隔开。</w:t>
      </w:r>
    </w:p>
    <w:p>
      <w:pPr>
        <w:pStyle w:val="38"/>
        <w:numPr>
          <w:ilvl w:val="0"/>
          <w:numId w:val="7"/>
        </w:numPr>
        <w:rPr>
          <w:rFonts w:hint="eastAsia" w:ascii="宋体" w:hAnsi="宋体" w:eastAsia="宋体" w:cs="宋体"/>
        </w:rPr>
      </w:pPr>
      <w:r>
        <w:rPr>
          <w:rFonts w:hint="eastAsia" w:ascii="宋体" w:hAnsi="宋体" w:eastAsia="宋体" w:cs="宋体"/>
          <w:b w:val="0"/>
          <w:bCs/>
          <w:lang w:val="en-US" w:eastAsia="zh-CN"/>
        </w:rPr>
        <w:t>CT</w:t>
      </w:r>
      <w:r>
        <w:rPr>
          <w:rFonts w:hint="eastAsia" w:ascii="宋体" w:hAnsi="宋体" w:eastAsia="宋体" w:cs="宋体"/>
          <w:b w:val="0"/>
          <w:bCs/>
        </w:rPr>
        <w:t>二次绕组</w:t>
      </w:r>
      <w:r>
        <w:rPr>
          <w:rFonts w:hint="eastAsia" w:hAnsi="宋体" w:cs="宋体"/>
          <w:b w:val="0"/>
          <w:bCs/>
          <w:lang w:val="en-US" w:eastAsia="zh-CN"/>
        </w:rPr>
        <w:t>应</w:t>
      </w:r>
      <w:r>
        <w:rPr>
          <w:rFonts w:hint="eastAsia" w:ascii="宋体" w:hAnsi="宋体" w:eastAsia="宋体" w:cs="宋体"/>
          <w:b w:val="0"/>
          <w:bCs/>
        </w:rPr>
        <w:t>合理分配，避免可能出现的保护死区</w:t>
      </w:r>
      <w:r>
        <w:rPr>
          <w:rFonts w:hint="eastAsia" w:ascii="宋体" w:hAnsi="宋体" w:eastAsia="宋体" w:cs="宋体"/>
          <w:b w:val="0"/>
          <w:bCs/>
          <w:lang w:eastAsia="zh-CN"/>
        </w:rPr>
        <w:t>。</w:t>
      </w:r>
      <w:r>
        <w:rPr>
          <w:rFonts w:hint="eastAsia" w:ascii="宋体" w:hAnsi="宋体" w:eastAsia="宋体" w:cs="宋体"/>
          <w:b w:val="0"/>
          <w:bCs/>
        </w:rPr>
        <w:t>对经计算影响电网安全稳定运行重要变电站的220kV及以上电压等级双母线接线方式的母联、分段断路器，宜在断路器两侧配置</w:t>
      </w:r>
      <w:r>
        <w:rPr>
          <w:rFonts w:hint="eastAsia" w:ascii="宋体" w:hAnsi="宋体" w:eastAsia="宋体" w:cs="宋体"/>
          <w:b w:val="0"/>
          <w:bCs/>
          <w:lang w:val="en-US" w:eastAsia="zh-CN"/>
        </w:rPr>
        <w:t>CT</w:t>
      </w:r>
      <w:r>
        <w:rPr>
          <w:rFonts w:hint="eastAsia" w:ascii="宋体" w:hAnsi="宋体" w:eastAsia="宋体" w:cs="宋体"/>
          <w:b w:val="0"/>
          <w:bCs/>
        </w:rPr>
        <w:t>。对确实无法解决的保护动作死区，在满足系统稳定要求的前提下，可采取启动失灵和远方跳闸等后备措施加以解决。</w:t>
      </w:r>
    </w:p>
    <w:p>
      <w:pPr>
        <w:pStyle w:val="38"/>
        <w:numPr>
          <w:ilvl w:val="0"/>
          <w:numId w:val="7"/>
        </w:numPr>
        <w:rPr>
          <w:rFonts w:hint="eastAsia" w:ascii="宋体" w:hAnsi="宋体" w:eastAsia="宋体" w:cs="宋体"/>
        </w:rPr>
      </w:pPr>
      <w:r>
        <w:rPr>
          <w:rFonts w:hint="eastAsia" w:ascii="宋体" w:hAnsi="宋体" w:eastAsia="宋体" w:cs="宋体"/>
          <w:b w:val="0"/>
          <w:bCs/>
          <w:lang w:val="en-US" w:eastAsia="zh-CN"/>
        </w:rPr>
        <w:t>PT</w:t>
      </w:r>
      <w:r>
        <w:rPr>
          <w:rFonts w:hint="eastAsia" w:ascii="宋体" w:hAnsi="宋体" w:eastAsia="宋体" w:cs="宋体"/>
          <w:b w:val="0"/>
          <w:bCs/>
        </w:rPr>
        <w:t>二次绕组</w:t>
      </w:r>
      <w:r>
        <w:rPr>
          <w:rFonts w:hint="eastAsia" w:hAnsi="宋体" w:cs="宋体"/>
          <w:b w:val="0"/>
          <w:bCs/>
          <w:lang w:val="en-US" w:eastAsia="zh-CN"/>
        </w:rPr>
        <w:t>应</w:t>
      </w:r>
      <w:r>
        <w:rPr>
          <w:rFonts w:hint="eastAsia" w:ascii="宋体" w:hAnsi="宋体" w:eastAsia="宋体" w:cs="宋体"/>
          <w:b w:val="0"/>
          <w:bCs/>
        </w:rPr>
        <w:t>合理分配，两套线路主保护的电压回路宜分别接入</w:t>
      </w:r>
      <w:r>
        <w:rPr>
          <w:rFonts w:hint="eastAsia" w:ascii="宋体" w:hAnsi="宋体" w:eastAsia="宋体" w:cs="宋体"/>
          <w:b w:val="0"/>
          <w:bCs/>
          <w:lang w:val="en-US" w:eastAsia="zh-CN"/>
        </w:rPr>
        <w:t>PT</w:t>
      </w:r>
      <w:r>
        <w:rPr>
          <w:rFonts w:hint="eastAsia" w:ascii="宋体" w:hAnsi="宋体" w:eastAsia="宋体" w:cs="宋体"/>
          <w:b w:val="0"/>
          <w:bCs/>
        </w:rPr>
        <w:t>的不同二次绕组。按近后备原则配置的两套线路主保护，当合用</w:t>
      </w:r>
      <w:r>
        <w:rPr>
          <w:rFonts w:hint="eastAsia" w:ascii="宋体" w:hAnsi="宋体" w:eastAsia="宋体" w:cs="宋体"/>
          <w:b w:val="0"/>
          <w:bCs/>
          <w:lang w:val="en-US" w:eastAsia="zh-CN"/>
        </w:rPr>
        <w:t>PT</w:t>
      </w:r>
      <w:r>
        <w:rPr>
          <w:rFonts w:hint="eastAsia" w:ascii="宋体" w:hAnsi="宋体" w:eastAsia="宋体" w:cs="宋体"/>
          <w:b w:val="0"/>
          <w:bCs/>
        </w:rPr>
        <w:t>的同一二次绕组时，应至少配置一套分相电流差动保护。</w:t>
      </w:r>
    </w:p>
    <w:p>
      <w:pPr>
        <w:pStyle w:val="37"/>
        <w:spacing w:before="120" w:after="120"/>
        <w:rPr>
          <w:rFonts w:hint="eastAsia" w:ascii="黑体" w:hAnsi="黑体" w:eastAsia="黑体" w:cs="黑体"/>
        </w:rPr>
      </w:pPr>
      <w:r>
        <w:rPr>
          <w:rFonts w:hint="eastAsia" w:ascii="黑体" w:hAnsi="黑体" w:eastAsia="黑体" w:cs="黑体"/>
          <w:lang w:eastAsia="zh-CN"/>
        </w:rPr>
        <w:t>二次回路与抗干扰</w:t>
      </w:r>
    </w:p>
    <w:p>
      <w:pPr>
        <w:pStyle w:val="19"/>
        <w:rPr>
          <w:rFonts w:hint="eastAsia"/>
          <w:lang w:val="en-US"/>
        </w:rPr>
      </w:pPr>
      <w:r>
        <w:rPr>
          <w:rFonts w:hint="eastAsia" w:ascii="宋体" w:hAnsi="Times New Roman" w:eastAsia="宋体" w:cs="Times New Roman"/>
          <w:lang w:val="en-US" w:eastAsia="zh-CN"/>
        </w:rPr>
        <w:t>二次回路</w:t>
      </w:r>
      <w:r>
        <w:rPr>
          <w:rFonts w:hint="eastAsia" w:cs="Times New Roman"/>
          <w:lang w:val="en-US" w:eastAsia="zh-CN"/>
        </w:rPr>
        <w:t>与抗干扰</w:t>
      </w:r>
      <w:r>
        <w:rPr>
          <w:rFonts w:hint="eastAsia" w:ascii="宋体" w:hAnsi="Times New Roman" w:eastAsia="宋体" w:cs="Times New Roman"/>
          <w:lang w:val="en-US" w:eastAsia="zh-CN"/>
        </w:rPr>
        <w:t>相关要求如下：</w:t>
      </w:r>
    </w:p>
    <w:p>
      <w:pPr>
        <w:pStyle w:val="38"/>
        <w:numPr>
          <w:ilvl w:val="0"/>
          <w:numId w:val="8"/>
        </w:numPr>
        <w:rPr>
          <w:rFonts w:hint="eastAsia" w:ascii="宋体" w:hAnsi="宋体" w:eastAsia="宋体" w:cs="宋体"/>
        </w:rPr>
      </w:pPr>
      <w:r>
        <w:rPr>
          <w:rFonts w:hint="eastAsia" w:ascii="宋体" w:hAnsi="宋体" w:eastAsia="宋体" w:cs="宋体"/>
          <w:b w:val="0"/>
          <w:bCs/>
          <w:lang w:val="en-US" w:eastAsia="zh-CN"/>
        </w:rPr>
        <w:t>CT</w:t>
      </w:r>
      <w:r>
        <w:rPr>
          <w:rFonts w:hint="eastAsia" w:ascii="宋体" w:hAnsi="宋体" w:eastAsia="宋体" w:cs="宋体"/>
          <w:b w:val="0"/>
          <w:bCs/>
        </w:rPr>
        <w:t>二次绕组及回路，</w:t>
      </w:r>
      <w:r>
        <w:rPr>
          <w:rFonts w:hint="eastAsia" w:hAnsi="宋体" w:cs="宋体"/>
          <w:b w:val="0"/>
          <w:bCs/>
          <w:lang w:eastAsia="zh-CN"/>
        </w:rPr>
        <w:t>应有唯一</w:t>
      </w:r>
      <w:r>
        <w:rPr>
          <w:rFonts w:hint="eastAsia" w:ascii="宋体" w:hAnsi="宋体" w:eastAsia="宋体" w:cs="宋体"/>
          <w:b w:val="0"/>
          <w:bCs/>
        </w:rPr>
        <w:t>接地点。公用</w:t>
      </w:r>
      <w:r>
        <w:rPr>
          <w:rFonts w:hint="eastAsia" w:ascii="宋体" w:hAnsi="宋体" w:eastAsia="宋体" w:cs="宋体"/>
          <w:b w:val="0"/>
          <w:bCs/>
          <w:lang w:val="en-US" w:eastAsia="zh-CN"/>
        </w:rPr>
        <w:t>CT</w:t>
      </w:r>
      <w:r>
        <w:rPr>
          <w:rFonts w:hint="eastAsia" w:ascii="宋体" w:hAnsi="宋体" w:eastAsia="宋体" w:cs="宋体"/>
          <w:b w:val="0"/>
          <w:bCs/>
        </w:rPr>
        <w:t>二次绕组二次回路</w:t>
      </w:r>
      <w:r>
        <w:rPr>
          <w:rFonts w:hint="eastAsia" w:hAnsi="宋体" w:cs="宋体"/>
          <w:b w:val="0"/>
          <w:bCs/>
          <w:lang w:eastAsia="zh-CN"/>
        </w:rPr>
        <w:t>应</w:t>
      </w:r>
      <w:r>
        <w:rPr>
          <w:rFonts w:hint="eastAsia" w:ascii="宋体" w:hAnsi="宋体" w:eastAsia="宋体" w:cs="宋体"/>
          <w:b w:val="0"/>
          <w:bCs/>
        </w:rPr>
        <w:t>在相关保护柜屏内一点接地。独立的、与其他</w:t>
      </w:r>
      <w:r>
        <w:rPr>
          <w:rFonts w:hint="eastAsia" w:ascii="宋体" w:hAnsi="宋体" w:eastAsia="宋体" w:cs="宋体"/>
          <w:b w:val="0"/>
          <w:bCs/>
          <w:lang w:val="en-US" w:eastAsia="zh-CN"/>
        </w:rPr>
        <w:t>CT</w:t>
      </w:r>
      <w:r>
        <w:rPr>
          <w:rFonts w:hint="eastAsia" w:ascii="宋体" w:hAnsi="宋体" w:eastAsia="宋体" w:cs="宋体"/>
          <w:b w:val="0"/>
          <w:bCs/>
        </w:rPr>
        <w:t>二次回路没有电气联系的二次回路宜在开关场一点接地。当差动保护的各组电流回路之间因没有电气联系而选择在开关场就地接地时，</w:t>
      </w:r>
      <w:r>
        <w:rPr>
          <w:rFonts w:hint="eastAsia" w:hAnsi="宋体" w:cs="宋体"/>
          <w:b w:val="0"/>
          <w:bCs/>
          <w:highlight w:val="yellow"/>
          <w:lang w:val="en-US" w:eastAsia="zh-CN"/>
        </w:rPr>
        <w:t>应避免</w:t>
      </w:r>
      <w:r>
        <w:rPr>
          <w:rFonts w:hint="eastAsia" w:ascii="宋体" w:hAnsi="宋体" w:eastAsia="宋体" w:cs="宋体"/>
          <w:b w:val="0"/>
          <w:bCs/>
        </w:rPr>
        <w:t>由于开关场发生接地短路故障，将不同接地点之间的地电位差引至保护装置。来自同一</w:t>
      </w:r>
      <w:r>
        <w:rPr>
          <w:rFonts w:hint="eastAsia" w:ascii="宋体" w:hAnsi="宋体" w:eastAsia="宋体" w:cs="宋体"/>
          <w:b w:val="0"/>
          <w:bCs/>
          <w:lang w:val="en-US" w:eastAsia="zh-CN"/>
        </w:rPr>
        <w:t>CT</w:t>
      </w:r>
      <w:r>
        <w:rPr>
          <w:rFonts w:hint="eastAsia" w:ascii="宋体" w:hAnsi="宋体" w:eastAsia="宋体" w:cs="宋体"/>
          <w:b w:val="0"/>
          <w:bCs/>
        </w:rPr>
        <w:t>二次绕组的三相电流线及其中性线</w:t>
      </w:r>
      <w:r>
        <w:rPr>
          <w:rFonts w:hint="eastAsia" w:hAnsi="宋体" w:cs="宋体"/>
          <w:b w:val="0"/>
          <w:bCs/>
          <w:lang w:eastAsia="zh-CN"/>
        </w:rPr>
        <w:t>应</w:t>
      </w:r>
      <w:r>
        <w:rPr>
          <w:rFonts w:hint="eastAsia" w:ascii="宋体" w:hAnsi="宋体" w:eastAsia="宋体" w:cs="宋体"/>
          <w:b w:val="0"/>
          <w:bCs/>
        </w:rPr>
        <w:t>置于同一根二次电缆</w:t>
      </w:r>
      <w:r>
        <w:rPr>
          <w:rFonts w:hint="eastAsia" w:ascii="宋体" w:hAnsi="宋体" w:eastAsia="宋体" w:cs="宋体"/>
          <w:b w:val="0"/>
          <w:bCs/>
          <w:lang w:eastAsia="zh-CN"/>
        </w:rPr>
        <w:t>。</w:t>
      </w:r>
    </w:p>
    <w:p>
      <w:pPr>
        <w:pStyle w:val="38"/>
        <w:numPr>
          <w:ilvl w:val="0"/>
          <w:numId w:val="8"/>
        </w:numPr>
        <w:rPr>
          <w:rFonts w:hint="eastAsia" w:ascii="宋体" w:hAnsi="宋体" w:eastAsia="宋体" w:cs="宋体"/>
        </w:rPr>
      </w:pPr>
      <w:r>
        <w:rPr>
          <w:rFonts w:hint="eastAsia" w:ascii="宋体" w:hAnsi="宋体" w:eastAsia="宋体" w:cs="宋体"/>
          <w:b w:val="0"/>
          <w:bCs/>
        </w:rPr>
        <w:t>公用</w:t>
      </w:r>
      <w:r>
        <w:rPr>
          <w:rFonts w:hint="eastAsia" w:ascii="宋体" w:hAnsi="宋体" w:eastAsia="宋体" w:cs="宋体"/>
          <w:b w:val="0"/>
          <w:bCs/>
          <w:lang w:val="en-US" w:eastAsia="zh-CN"/>
        </w:rPr>
        <w:t>PT</w:t>
      </w:r>
      <w:r>
        <w:rPr>
          <w:rFonts w:hint="eastAsia" w:ascii="宋体" w:hAnsi="宋体" w:eastAsia="宋体" w:cs="宋体"/>
          <w:b w:val="0"/>
          <w:bCs/>
        </w:rPr>
        <w:t>二次回路</w:t>
      </w:r>
      <w:r>
        <w:rPr>
          <w:rFonts w:hint="eastAsia" w:hAnsi="宋体" w:cs="宋体"/>
          <w:b w:val="0"/>
          <w:bCs/>
          <w:highlight w:val="yellow"/>
          <w:lang w:val="en-US" w:eastAsia="zh-CN"/>
        </w:rPr>
        <w:t>应</w:t>
      </w:r>
      <w:r>
        <w:rPr>
          <w:rFonts w:hint="eastAsia" w:ascii="宋体" w:hAnsi="宋体" w:eastAsia="宋体" w:cs="宋体"/>
          <w:b w:val="0"/>
          <w:bCs/>
        </w:rPr>
        <w:t>在控制室内有一点接地，为保证接地可靠，各电压互感器的中性线不得接有可能断开的开关或熔断器等，已在控制室一点接地</w:t>
      </w:r>
      <w:r>
        <w:rPr>
          <w:rFonts w:hint="eastAsia" w:ascii="宋体" w:hAnsi="宋体" w:eastAsia="宋体" w:cs="宋体"/>
          <w:b w:val="0"/>
          <w:bCs/>
          <w:lang w:val="en-US" w:eastAsia="zh-CN"/>
        </w:rPr>
        <w:t>PT</w:t>
      </w:r>
      <w:r>
        <w:rPr>
          <w:rFonts w:hint="eastAsia" w:ascii="宋体" w:hAnsi="宋体" w:eastAsia="宋体" w:cs="宋体"/>
          <w:b w:val="0"/>
          <w:bCs/>
        </w:rPr>
        <w:t>二次绕组，宜在开关场将二次绕组中性点经放电间隙或氧化锌阀片接地，其击穿电压峰值应大于30Imax伏（Imax为电网接地故障时通过变电站的可能最大接地电流有效值，单位为kA）。应定期检查放电间隙或氧化锌阀片，防止造成电压二次回路多点接地的现象</w:t>
      </w:r>
      <w:r>
        <w:rPr>
          <w:rFonts w:hint="eastAsia" w:ascii="宋体" w:hAnsi="宋体" w:eastAsia="宋体" w:cs="宋体"/>
          <w:b w:val="0"/>
          <w:bCs/>
          <w:lang w:eastAsia="zh-CN"/>
        </w:rPr>
        <w:t>。</w:t>
      </w:r>
    </w:p>
    <w:p>
      <w:pPr>
        <w:pStyle w:val="38"/>
        <w:numPr>
          <w:ilvl w:val="0"/>
          <w:numId w:val="8"/>
        </w:numPr>
        <w:rPr>
          <w:rFonts w:hint="eastAsia" w:ascii="宋体" w:hAnsi="宋体" w:eastAsia="宋体" w:cs="宋体"/>
        </w:rPr>
      </w:pPr>
      <w:r>
        <w:rPr>
          <w:rFonts w:hint="eastAsia" w:ascii="宋体" w:hAnsi="宋体" w:eastAsia="宋体" w:cs="宋体"/>
          <w:b w:val="0"/>
          <w:bCs/>
        </w:rPr>
        <w:t>来自同一</w:t>
      </w:r>
      <w:r>
        <w:rPr>
          <w:rFonts w:hint="eastAsia" w:ascii="宋体" w:hAnsi="宋体" w:eastAsia="宋体" w:cs="宋体"/>
          <w:b w:val="0"/>
          <w:bCs/>
          <w:lang w:val="en-US" w:eastAsia="zh-CN"/>
        </w:rPr>
        <w:t>PT</w:t>
      </w:r>
      <w:r>
        <w:rPr>
          <w:rFonts w:hint="eastAsia" w:ascii="宋体" w:hAnsi="宋体" w:eastAsia="宋体" w:cs="宋体"/>
          <w:b w:val="0"/>
          <w:bCs/>
        </w:rPr>
        <w:t>二次绕组的三相电压线及其中性线</w:t>
      </w:r>
      <w:r>
        <w:rPr>
          <w:rFonts w:hint="eastAsia" w:hAnsi="宋体" w:cs="宋体"/>
          <w:b w:val="0"/>
          <w:bCs/>
          <w:highlight w:val="yellow"/>
          <w:lang w:val="en-US" w:eastAsia="zh-CN"/>
        </w:rPr>
        <w:t>应</w:t>
      </w:r>
      <w:r>
        <w:rPr>
          <w:rFonts w:hint="eastAsia" w:ascii="宋体" w:hAnsi="宋体" w:eastAsia="宋体" w:cs="宋体"/>
          <w:b w:val="0"/>
          <w:bCs/>
        </w:rPr>
        <w:t>置于同一根二次电缆，不得与其他电缆共用。来自同一</w:t>
      </w:r>
      <w:r>
        <w:rPr>
          <w:rFonts w:hint="eastAsia" w:ascii="宋体" w:hAnsi="宋体" w:eastAsia="宋体" w:cs="宋体"/>
          <w:b w:val="0"/>
          <w:bCs/>
          <w:lang w:val="en-US" w:eastAsia="zh-CN"/>
        </w:rPr>
        <w:t>PT</w:t>
      </w:r>
      <w:r>
        <w:rPr>
          <w:rFonts w:hint="eastAsia" w:ascii="宋体" w:hAnsi="宋体" w:eastAsia="宋体" w:cs="宋体"/>
          <w:b w:val="0"/>
          <w:bCs/>
        </w:rPr>
        <w:t>三次绕组的两（或三）根引入线</w:t>
      </w:r>
      <w:r>
        <w:rPr>
          <w:rFonts w:hint="eastAsia" w:hAnsi="宋体" w:cs="宋体"/>
          <w:b w:val="0"/>
          <w:bCs/>
          <w:highlight w:val="yellow"/>
          <w:lang w:val="en-US" w:eastAsia="zh-CN"/>
        </w:rPr>
        <w:t>应</w:t>
      </w:r>
      <w:r>
        <w:rPr>
          <w:rFonts w:hint="eastAsia" w:ascii="宋体" w:hAnsi="宋体" w:eastAsia="宋体" w:cs="宋体"/>
          <w:b w:val="0"/>
          <w:bCs/>
        </w:rPr>
        <w:t>置于同一根二次电缆，不得与其他电缆共用。应</w:t>
      </w:r>
      <w:r>
        <w:rPr>
          <w:rFonts w:hint="eastAsia" w:ascii="宋体" w:hAnsi="宋体" w:eastAsia="宋体" w:cs="宋体"/>
          <w:b w:val="0"/>
          <w:bCs/>
          <w:highlight w:val="yellow"/>
        </w:rPr>
        <w:t>特别注意</w:t>
      </w:r>
      <w:r>
        <w:rPr>
          <w:rFonts w:hint="eastAsia" w:ascii="宋体" w:hAnsi="宋体" w:eastAsia="宋体" w:cs="宋体"/>
          <w:b w:val="0"/>
          <w:bCs/>
        </w:rPr>
        <w:t>：</w:t>
      </w:r>
      <w:r>
        <w:rPr>
          <w:rFonts w:hint="eastAsia" w:ascii="宋体" w:hAnsi="宋体" w:eastAsia="宋体" w:cs="宋体"/>
          <w:b w:val="0"/>
          <w:bCs/>
          <w:lang w:val="en-US" w:eastAsia="zh-CN"/>
        </w:rPr>
        <w:t>PT</w:t>
      </w:r>
      <w:r>
        <w:rPr>
          <w:rFonts w:hint="eastAsia" w:ascii="宋体" w:hAnsi="宋体" w:eastAsia="宋体" w:cs="宋体"/>
          <w:b w:val="0"/>
          <w:bCs/>
        </w:rPr>
        <w:t>三次绕组及其回路不得短路。</w:t>
      </w:r>
    </w:p>
    <w:p>
      <w:pPr>
        <w:pStyle w:val="38"/>
        <w:numPr>
          <w:ilvl w:val="0"/>
          <w:numId w:val="8"/>
        </w:numPr>
        <w:rPr>
          <w:rFonts w:hint="eastAsia" w:ascii="宋体" w:hAnsi="宋体" w:eastAsia="宋体" w:cs="宋体"/>
        </w:rPr>
      </w:pPr>
      <w:r>
        <w:rPr>
          <w:rFonts w:hint="eastAsia" w:ascii="宋体" w:hAnsi="宋体" w:eastAsia="宋体" w:cs="宋体"/>
          <w:b w:val="0"/>
          <w:bCs/>
          <w:lang w:val="en-US" w:eastAsia="zh-CN"/>
        </w:rPr>
        <w:t>PT</w:t>
      </w:r>
      <w:r>
        <w:rPr>
          <w:rFonts w:hint="eastAsia" w:ascii="宋体" w:hAnsi="宋体" w:eastAsia="宋体" w:cs="宋体"/>
          <w:b w:val="0"/>
          <w:bCs/>
        </w:rPr>
        <w:t>的二次回路</w:t>
      </w:r>
      <w:r>
        <w:rPr>
          <w:rFonts w:hint="eastAsia" w:hAnsi="宋体" w:cs="宋体"/>
          <w:b w:val="0"/>
          <w:bCs/>
          <w:highlight w:val="yellow"/>
          <w:lang w:val="en-US" w:eastAsia="zh-CN"/>
        </w:rPr>
        <w:t>应</w:t>
      </w:r>
      <w:r>
        <w:rPr>
          <w:rFonts w:hint="eastAsia" w:ascii="宋体" w:hAnsi="宋体" w:eastAsia="宋体" w:cs="宋体"/>
          <w:b w:val="0"/>
          <w:bCs/>
        </w:rPr>
        <w:t>有一点接地，接地点宜设在控制室内。独立的、与其它互感器无电联系的</w:t>
      </w:r>
      <w:r>
        <w:rPr>
          <w:rFonts w:hint="eastAsia" w:ascii="宋体" w:hAnsi="宋体" w:eastAsia="宋体" w:cs="宋体"/>
          <w:b w:val="0"/>
          <w:bCs/>
          <w:lang w:val="en-US" w:eastAsia="zh-CN"/>
        </w:rPr>
        <w:t>PT</w:t>
      </w:r>
      <w:r>
        <w:rPr>
          <w:rFonts w:hint="eastAsia" w:ascii="宋体" w:hAnsi="宋体" w:eastAsia="宋体" w:cs="宋体"/>
          <w:b w:val="0"/>
          <w:bCs/>
        </w:rPr>
        <w:t>也可在开关场实现一点接地。各</w:t>
      </w:r>
      <w:r>
        <w:rPr>
          <w:rFonts w:hint="eastAsia" w:ascii="宋体" w:hAnsi="宋体" w:eastAsia="宋体" w:cs="宋体"/>
          <w:b w:val="0"/>
          <w:bCs/>
          <w:lang w:val="en-US" w:eastAsia="zh-CN"/>
        </w:rPr>
        <w:t>PT</w:t>
      </w:r>
      <w:r>
        <w:rPr>
          <w:rFonts w:hint="eastAsia" w:ascii="宋体" w:hAnsi="宋体" w:eastAsia="宋体" w:cs="宋体"/>
          <w:b w:val="0"/>
          <w:bCs/>
        </w:rPr>
        <w:t>的中性线</w:t>
      </w:r>
      <w:r>
        <w:rPr>
          <w:rFonts w:hint="eastAsia" w:hAnsi="宋体" w:cs="宋体"/>
          <w:b w:val="0"/>
          <w:bCs/>
          <w:lang w:eastAsia="zh-CN"/>
        </w:rPr>
        <w:t>不</w:t>
      </w:r>
      <w:r>
        <w:rPr>
          <w:rFonts w:hint="eastAsia" w:hAnsi="宋体" w:cs="宋体"/>
          <w:b w:val="0"/>
          <w:bCs/>
          <w:lang w:val="en-US" w:eastAsia="zh-CN"/>
        </w:rPr>
        <w:t>应</w:t>
      </w:r>
      <w:r>
        <w:rPr>
          <w:rFonts w:hint="eastAsia" w:ascii="宋体" w:hAnsi="宋体" w:eastAsia="宋体" w:cs="宋体"/>
          <w:b w:val="0"/>
          <w:bCs/>
        </w:rPr>
        <w:t>接有可能断开的开关或熔断器等。</w:t>
      </w:r>
    </w:p>
    <w:p>
      <w:pPr>
        <w:pStyle w:val="38"/>
        <w:numPr>
          <w:ilvl w:val="0"/>
          <w:numId w:val="8"/>
        </w:numPr>
        <w:rPr>
          <w:rFonts w:hint="eastAsia" w:ascii="宋体" w:hAnsi="宋体" w:eastAsia="宋体" w:cs="宋体"/>
        </w:rPr>
      </w:pPr>
      <w:r>
        <w:rPr>
          <w:rFonts w:hint="eastAsia" w:ascii="宋体" w:hAnsi="宋体" w:eastAsia="宋体" w:cs="宋体"/>
          <w:b w:val="0"/>
          <w:bCs/>
        </w:rPr>
        <w:t>严禁在保护装置电流回路中并联接入过电压保护器，防止过电压保护器不可靠动作引起差动保护误动作。</w:t>
      </w:r>
    </w:p>
    <w:p>
      <w:pPr>
        <w:pStyle w:val="38"/>
        <w:numPr>
          <w:ilvl w:val="0"/>
          <w:numId w:val="8"/>
        </w:numPr>
        <w:rPr>
          <w:rFonts w:hint="eastAsia" w:ascii="宋体" w:hAnsi="宋体" w:eastAsia="宋体" w:cs="宋体"/>
        </w:rPr>
      </w:pPr>
      <w:r>
        <w:rPr>
          <w:rFonts w:hint="eastAsia" w:ascii="宋体" w:hAnsi="宋体" w:eastAsia="宋体" w:cs="宋体"/>
          <w:b w:val="0"/>
          <w:bCs/>
        </w:rPr>
        <w:t>交流电流和交流电压回路、交流和直流回路、强电和弱电回路，均应使用各自独立的电缆。</w:t>
      </w:r>
    </w:p>
    <w:p>
      <w:pPr>
        <w:pStyle w:val="38"/>
        <w:numPr>
          <w:ilvl w:val="0"/>
          <w:numId w:val="8"/>
        </w:numPr>
        <w:rPr>
          <w:rFonts w:hint="eastAsia" w:ascii="宋体" w:hAnsi="宋体" w:eastAsia="宋体" w:cs="宋体"/>
        </w:rPr>
      </w:pPr>
      <w:r>
        <w:rPr>
          <w:rFonts w:hint="eastAsia" w:ascii="宋体" w:hAnsi="宋体" w:eastAsia="宋体" w:cs="宋体"/>
          <w:b w:val="0"/>
          <w:bCs/>
        </w:rPr>
        <w:t>保护装置用弱电开入回路不宜引出保护室。</w:t>
      </w:r>
    </w:p>
    <w:p>
      <w:pPr>
        <w:pStyle w:val="38"/>
        <w:numPr>
          <w:ilvl w:val="0"/>
          <w:numId w:val="8"/>
        </w:numPr>
        <w:rPr>
          <w:rFonts w:hint="eastAsia" w:ascii="宋体" w:hAnsi="宋体" w:eastAsia="宋体" w:cs="宋体"/>
        </w:rPr>
      </w:pPr>
      <w:r>
        <w:rPr>
          <w:rFonts w:hint="eastAsia" w:ascii="宋体" w:hAnsi="宋体" w:eastAsia="宋体" w:cs="宋体"/>
          <w:b w:val="0"/>
          <w:bCs/>
        </w:rPr>
        <w:t>严格执行有关规程、规定及反事故措施，防止二次寄生回路的形成</w:t>
      </w:r>
      <w:r>
        <w:rPr>
          <w:rFonts w:hint="eastAsia" w:ascii="宋体" w:hAnsi="宋体" w:eastAsia="宋体" w:cs="宋体"/>
          <w:b w:val="0"/>
          <w:bCs/>
          <w:lang w:eastAsia="zh-CN"/>
        </w:rPr>
        <w:t>。</w:t>
      </w:r>
    </w:p>
    <w:p>
      <w:pPr>
        <w:pStyle w:val="38"/>
        <w:numPr>
          <w:ilvl w:val="0"/>
          <w:numId w:val="8"/>
        </w:numPr>
        <w:rPr>
          <w:rFonts w:hint="eastAsia" w:ascii="宋体" w:hAnsi="宋体" w:eastAsia="宋体" w:cs="宋体"/>
        </w:rPr>
      </w:pPr>
      <w:r>
        <w:rPr>
          <w:rFonts w:hint="eastAsia" w:ascii="宋体" w:hAnsi="宋体" w:eastAsia="宋体" w:cs="宋体"/>
          <w:b w:val="0"/>
          <w:bCs/>
        </w:rPr>
        <w:t>直接接入微机型继电保护装置的所有二次电缆均应使用屏蔽电缆，电缆屏蔽层应在电缆两端可靠接地。严禁使用电缆内的空线替代屏蔽层接地。</w:t>
      </w:r>
    </w:p>
    <w:p>
      <w:pPr>
        <w:pStyle w:val="38"/>
        <w:numPr>
          <w:ilvl w:val="0"/>
          <w:numId w:val="8"/>
        </w:numPr>
        <w:rPr>
          <w:rFonts w:hint="eastAsia" w:ascii="宋体" w:hAnsi="宋体" w:eastAsia="宋体" w:cs="宋体"/>
        </w:rPr>
      </w:pPr>
      <w:r>
        <w:rPr>
          <w:rFonts w:hint="eastAsia" w:ascii="宋体" w:hAnsi="宋体" w:eastAsia="宋体" w:cs="宋体"/>
          <w:b w:val="0"/>
          <w:bCs/>
        </w:rPr>
        <w:t>在控制室内屏蔽层宜在保护屏上接于屏柜内的等电位接地铜排；在开关场屏蔽层应在与高压设备有一定距离的端子箱</w:t>
      </w:r>
      <w:r>
        <w:rPr>
          <w:rFonts w:hint="eastAsia" w:ascii="宋体" w:hAnsi="宋体" w:eastAsia="宋体" w:cs="宋体"/>
          <w:b w:val="0"/>
          <w:bCs/>
          <w:lang w:eastAsia="zh-CN"/>
        </w:rPr>
        <w:t>内等电位铜排</w:t>
      </w:r>
      <w:r>
        <w:rPr>
          <w:rFonts w:hint="eastAsia" w:ascii="宋体" w:hAnsi="宋体" w:eastAsia="宋体" w:cs="宋体"/>
          <w:b w:val="0"/>
          <w:bCs/>
        </w:rPr>
        <w:t>接地。互感器每相二次回路经两芯屏蔽电缆从高压箱体引至端子箱，该电缆屏蔽层在高压箱体和端子箱两端接地</w:t>
      </w:r>
      <w:r>
        <w:rPr>
          <w:rFonts w:hint="eastAsia" w:ascii="宋体" w:hAnsi="宋体" w:eastAsia="宋体" w:cs="宋体"/>
          <w:b w:val="0"/>
          <w:bCs/>
          <w:lang w:eastAsia="zh-CN"/>
        </w:rPr>
        <w:t>。</w:t>
      </w:r>
    </w:p>
    <w:p>
      <w:pPr>
        <w:pStyle w:val="38"/>
        <w:numPr>
          <w:ilvl w:val="0"/>
          <w:numId w:val="8"/>
        </w:numPr>
        <w:rPr>
          <w:rFonts w:hint="eastAsia" w:ascii="宋体" w:hAnsi="宋体" w:eastAsia="宋体" w:cs="宋体"/>
        </w:rPr>
      </w:pPr>
      <w:r>
        <w:rPr>
          <w:rFonts w:hint="eastAsia" w:ascii="宋体" w:hAnsi="宋体" w:eastAsia="宋体" w:cs="宋体"/>
          <w:b w:val="0"/>
          <w:bCs/>
        </w:rPr>
        <w:t>对经长电缆跳闸的回路，应采取防止长电缆分布电容影响和防止出口继电器误动的措施。在运行和检修中应严格执行有关规程、规定及反事故措施，严格防止交流电压、电流串入直流回路。</w:t>
      </w:r>
    </w:p>
    <w:p>
      <w:pPr>
        <w:pStyle w:val="38"/>
        <w:numPr>
          <w:ilvl w:val="0"/>
          <w:numId w:val="8"/>
        </w:numPr>
        <w:rPr>
          <w:rFonts w:hint="eastAsia" w:ascii="宋体" w:hAnsi="宋体" w:eastAsia="宋体" w:cs="宋体"/>
        </w:rPr>
      </w:pPr>
      <w:r>
        <w:rPr>
          <w:rFonts w:hint="eastAsia" w:ascii="宋体" w:hAnsi="宋体" w:eastAsia="宋体" w:cs="宋体"/>
          <w:b w:val="0"/>
          <w:bCs/>
        </w:rPr>
        <w:t>如果断路器只有一组跳闸线圈，失灵保护装置工作电源应与相对应的断路器操作电源取自不同的直流电源系统。</w:t>
      </w:r>
    </w:p>
    <w:p>
      <w:pPr>
        <w:pStyle w:val="38"/>
        <w:numPr>
          <w:ilvl w:val="0"/>
          <w:numId w:val="8"/>
        </w:numPr>
        <w:rPr>
          <w:rFonts w:hint="eastAsia" w:ascii="宋体" w:hAnsi="宋体" w:eastAsia="宋体" w:cs="宋体"/>
          <w:b w:val="0"/>
          <w:bCs/>
        </w:rPr>
      </w:pPr>
      <w:r>
        <w:rPr>
          <w:rFonts w:hint="eastAsia" w:ascii="宋体" w:hAnsi="宋体" w:eastAsia="宋体" w:cs="宋体"/>
          <w:b w:val="0"/>
          <w:bCs/>
        </w:rPr>
        <w:t>气体继电器至保护柜的电缆应尽量减少中间转接环节，宜直接接入保护</w:t>
      </w:r>
      <w:r>
        <w:rPr>
          <w:rFonts w:hint="eastAsia" w:ascii="宋体" w:hAnsi="宋体" w:eastAsia="宋体" w:cs="宋体"/>
          <w:b w:val="0"/>
          <w:bCs/>
          <w:lang w:eastAsia="zh-CN"/>
        </w:rPr>
        <w:t>屏、</w:t>
      </w:r>
      <w:r>
        <w:rPr>
          <w:rFonts w:hint="eastAsia" w:ascii="宋体" w:hAnsi="宋体" w:eastAsia="宋体" w:cs="宋体"/>
          <w:b w:val="0"/>
          <w:bCs/>
        </w:rPr>
        <w:t>柜。</w:t>
      </w:r>
    </w:p>
    <w:p>
      <w:pPr>
        <w:pStyle w:val="36"/>
        <w:spacing w:before="120" w:after="120"/>
      </w:pPr>
      <w:bookmarkStart w:id="68" w:name="_Toc29268"/>
      <w:bookmarkStart w:id="69" w:name="_Toc15130"/>
      <w:bookmarkStart w:id="70" w:name="_Toc189"/>
      <w:r>
        <w:rPr>
          <w:rFonts w:hint="eastAsia"/>
          <w:lang w:val="en-US" w:eastAsia="zh-CN"/>
        </w:rPr>
        <w:t>一般要求</w:t>
      </w:r>
      <w:bookmarkEnd w:id="68"/>
      <w:bookmarkEnd w:id="69"/>
      <w:bookmarkEnd w:id="70"/>
    </w:p>
    <w:p>
      <w:pPr>
        <w:pStyle w:val="37"/>
        <w:spacing w:before="120" w:after="120"/>
        <w:rPr>
          <w:rFonts w:hint="eastAsia" w:ascii="黑体" w:hAnsi="黑体" w:eastAsia="黑体" w:cs="黑体"/>
        </w:rPr>
      </w:pPr>
      <w:r>
        <w:rPr>
          <w:rFonts w:hint="eastAsia" w:ascii="黑体" w:hAnsi="黑体" w:eastAsia="黑体" w:cs="黑体"/>
          <w:lang w:val="en-US" w:eastAsia="zh-CN"/>
        </w:rPr>
        <w:t>选型</w:t>
      </w:r>
    </w:p>
    <w:p>
      <w:pPr>
        <w:pStyle w:val="19"/>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eastAsia="zh-CN"/>
        </w:rPr>
        <w:t>二次回路选型相关要求如下：</w:t>
      </w:r>
    </w:p>
    <w:p>
      <w:pPr>
        <w:pStyle w:val="38"/>
        <w:numPr>
          <w:ilvl w:val="0"/>
          <w:numId w:val="9"/>
        </w:numPr>
        <w:rPr>
          <w:rFonts w:hint="eastAsia" w:ascii="宋体" w:hAnsi="宋体" w:eastAsia="宋体" w:cs="宋体"/>
        </w:rPr>
      </w:pPr>
      <w:r>
        <w:rPr>
          <w:rFonts w:hint="eastAsia" w:ascii="Times New Roman" w:hAnsi="Times New Roman" w:cs="Times New Roman"/>
          <w:b w:val="0"/>
          <w:bCs/>
          <w:lang w:eastAsia="zh-CN"/>
        </w:rPr>
        <w:t>二次回路</w:t>
      </w:r>
      <w:r>
        <w:rPr>
          <w:rFonts w:hint="eastAsia" w:ascii="宋体" w:hAnsi="宋体" w:eastAsia="宋体" w:cs="宋体"/>
          <w:b w:val="0"/>
          <w:bCs/>
        </w:rPr>
        <w:t>应采用铜芯的控制电缆和绝缘导线。在绝缘可能受到油浸蚀的地方，应采用耐油绝缘导线。</w:t>
      </w:r>
    </w:p>
    <w:p>
      <w:pPr>
        <w:pStyle w:val="38"/>
        <w:numPr>
          <w:ilvl w:val="0"/>
          <w:numId w:val="9"/>
        </w:numPr>
        <w:rPr>
          <w:rFonts w:hint="eastAsia" w:ascii="宋体" w:hAnsi="宋体" w:eastAsia="宋体" w:cs="宋体"/>
        </w:rPr>
      </w:pPr>
      <w:r>
        <w:rPr>
          <w:rFonts w:hint="eastAsia" w:ascii="宋体" w:hAnsi="宋体" w:eastAsia="宋体" w:cs="宋体"/>
          <w:b w:val="0"/>
          <w:bCs/>
          <w:lang w:eastAsia="zh-CN"/>
        </w:rPr>
        <w:t>控制电缆或绝缘导线的芯线最小截面，强电控制回路不应小于</w:t>
      </w:r>
      <w:r>
        <w:rPr>
          <w:rFonts w:hint="eastAsia" w:ascii="宋体" w:hAnsi="宋体" w:eastAsia="宋体" w:cs="宋体"/>
          <w:b w:val="0"/>
          <w:bCs/>
          <w:lang w:val="en-US" w:eastAsia="zh-CN"/>
        </w:rPr>
        <w:t>1.5mm</w:t>
      </w:r>
      <w:r>
        <w:rPr>
          <w:rFonts w:hint="eastAsia" w:ascii="宋体" w:hAnsi="宋体" w:eastAsia="宋体" w:cs="宋体"/>
          <w:b w:val="0"/>
          <w:bCs/>
          <w:vertAlign w:val="superscript"/>
          <w:lang w:val="en-US" w:eastAsia="zh-CN"/>
        </w:rPr>
        <w:t>2</w:t>
      </w:r>
      <w:r>
        <w:rPr>
          <w:rFonts w:hint="eastAsia" w:ascii="宋体" w:hAnsi="宋体" w:eastAsia="宋体" w:cs="宋体"/>
          <w:b w:val="0"/>
          <w:bCs/>
          <w:lang w:val="en-US" w:eastAsia="zh-CN"/>
        </w:rPr>
        <w:t>；屏、柜内导线的芯线截面不应小于1.0mm</w:t>
      </w:r>
      <w:r>
        <w:rPr>
          <w:rFonts w:hint="eastAsia" w:ascii="宋体" w:hAnsi="宋体" w:eastAsia="宋体" w:cs="宋体"/>
          <w:b w:val="0"/>
          <w:bCs/>
          <w:vertAlign w:val="superscript"/>
          <w:lang w:val="en-US" w:eastAsia="zh-CN"/>
        </w:rPr>
        <w:t>2</w:t>
      </w:r>
      <w:r>
        <w:rPr>
          <w:rFonts w:hint="eastAsia" w:ascii="宋体" w:hAnsi="宋体" w:eastAsia="宋体" w:cs="宋体"/>
          <w:b w:val="0"/>
          <w:bCs/>
          <w:lang w:val="en-US" w:eastAsia="zh-CN"/>
        </w:rPr>
        <w:t>；弱电控制回路不应小于0.5mm</w:t>
      </w:r>
      <w:r>
        <w:rPr>
          <w:rFonts w:hint="eastAsia" w:ascii="宋体" w:hAnsi="宋体" w:eastAsia="宋体" w:cs="宋体"/>
          <w:b w:val="0"/>
          <w:bCs/>
          <w:vertAlign w:val="superscript"/>
          <w:lang w:val="en-US" w:eastAsia="zh-CN"/>
        </w:rPr>
        <w:t>2</w:t>
      </w:r>
      <w:r>
        <w:rPr>
          <w:rFonts w:hint="eastAsia" w:ascii="宋体" w:hAnsi="宋体" w:eastAsia="宋体" w:cs="宋体"/>
          <w:b w:val="0"/>
          <w:bCs/>
          <w:lang w:val="en-US" w:eastAsia="zh-CN"/>
        </w:rPr>
        <w:t>。</w:t>
      </w:r>
    </w:p>
    <w:p>
      <w:pPr>
        <w:pStyle w:val="38"/>
        <w:numPr>
          <w:ilvl w:val="0"/>
          <w:numId w:val="9"/>
        </w:numPr>
        <w:rPr>
          <w:rFonts w:hint="eastAsia" w:ascii="宋体" w:hAnsi="宋体" w:eastAsia="宋体" w:cs="宋体"/>
        </w:rPr>
      </w:pPr>
      <w:r>
        <w:rPr>
          <w:rFonts w:hint="eastAsia" w:ascii="宋体" w:hAnsi="宋体" w:eastAsia="宋体" w:cs="宋体"/>
          <w:b w:val="0"/>
          <w:bCs/>
          <w:lang w:eastAsia="zh-CN"/>
        </w:rPr>
        <w:t>电流回路的导线截面</w:t>
      </w:r>
      <w:r>
        <w:rPr>
          <w:rFonts w:hint="eastAsia" w:ascii="宋体" w:hAnsi="宋体" w:eastAsia="宋体" w:cs="宋体"/>
          <w:b w:val="0"/>
          <w:bCs/>
          <w:lang w:val="en-US" w:eastAsia="zh-CN"/>
        </w:rPr>
        <w:t>应不小于2.5mm</w:t>
      </w:r>
      <w:r>
        <w:rPr>
          <w:rFonts w:hint="eastAsia" w:ascii="宋体" w:hAnsi="宋体" w:eastAsia="宋体" w:cs="宋体"/>
          <w:b w:val="0"/>
          <w:bCs/>
          <w:vertAlign w:val="superscript"/>
          <w:lang w:val="en-US" w:eastAsia="zh-CN"/>
        </w:rPr>
        <w:t>2</w:t>
      </w:r>
      <w:r>
        <w:rPr>
          <w:rFonts w:hint="eastAsia" w:ascii="宋体" w:hAnsi="宋体" w:eastAsia="宋体" w:cs="宋体"/>
          <w:b w:val="0"/>
          <w:bCs/>
          <w:vertAlign w:val="baseline"/>
          <w:lang w:val="en-US" w:eastAsia="zh-CN"/>
        </w:rPr>
        <w:t>，</w:t>
      </w:r>
      <w:r>
        <w:rPr>
          <w:rFonts w:hint="eastAsia" w:ascii="宋体" w:hAnsi="宋体" w:eastAsia="宋体" w:cs="宋体"/>
          <w:b w:val="0"/>
          <w:bCs/>
          <w:lang w:val="en-US" w:eastAsia="zh-CN"/>
        </w:rPr>
        <w:t>误差曲线</w:t>
      </w:r>
      <w:r>
        <w:rPr>
          <w:rFonts w:hint="eastAsia" w:ascii="宋体" w:hAnsi="宋体" w:eastAsia="宋体" w:cs="宋体"/>
          <w:b w:val="0"/>
          <w:bCs/>
          <w:lang w:eastAsia="zh-CN"/>
        </w:rPr>
        <w:t>应</w:t>
      </w:r>
      <w:r>
        <w:rPr>
          <w:rFonts w:hint="eastAsia" w:ascii="宋体" w:hAnsi="宋体" w:eastAsia="宋体" w:cs="宋体"/>
          <w:b w:val="0"/>
          <w:bCs/>
          <w:lang w:val="en-US" w:eastAsia="zh-CN"/>
        </w:rPr>
        <w:t>符合CT10%的要求。</w:t>
      </w:r>
    </w:p>
    <w:p>
      <w:pPr>
        <w:pStyle w:val="38"/>
        <w:numPr>
          <w:ilvl w:val="0"/>
          <w:numId w:val="9"/>
        </w:numPr>
        <w:rPr>
          <w:rFonts w:hint="eastAsia" w:ascii="宋体" w:hAnsi="宋体" w:eastAsia="宋体" w:cs="宋体"/>
        </w:rPr>
      </w:pPr>
      <w:r>
        <w:rPr>
          <w:rFonts w:hint="eastAsia" w:ascii="宋体" w:hAnsi="宋体" w:eastAsia="宋体" w:cs="宋体"/>
          <w:b w:val="0"/>
          <w:bCs/>
          <w:lang w:eastAsia="zh-CN"/>
        </w:rPr>
        <w:t>在保护和测量回路中，电压回路的导线截面积应保证终端压降</w:t>
      </w:r>
      <w:r>
        <w:rPr>
          <w:rFonts w:hint="eastAsia" w:ascii="宋体" w:hAnsi="宋体" w:eastAsia="宋体" w:cs="宋体"/>
          <w:b w:val="0"/>
          <w:bCs/>
          <w:highlight w:val="yellow"/>
          <w:lang w:val="en-US" w:eastAsia="zh-CN"/>
        </w:rPr>
        <w:t>应不大于3%</w:t>
      </w:r>
      <w:r>
        <w:rPr>
          <w:rFonts w:hint="eastAsia" w:ascii="宋体" w:hAnsi="宋体" w:eastAsia="宋体" w:cs="宋体"/>
          <w:b w:val="0"/>
          <w:bCs/>
          <w:lang w:val="en-US" w:eastAsia="zh-CN"/>
        </w:rPr>
        <w:t>；计量回路中，</w:t>
      </w:r>
      <w:r>
        <w:rPr>
          <w:rFonts w:hint="eastAsia" w:ascii="宋体" w:hAnsi="宋体" w:eastAsia="宋体" w:cs="宋体"/>
          <w:b w:val="0"/>
          <w:bCs/>
          <w:lang w:eastAsia="zh-CN"/>
        </w:rPr>
        <w:t>电压回路的导线截面积应保证终端压降</w:t>
      </w:r>
      <w:r>
        <w:rPr>
          <w:rFonts w:hint="eastAsia" w:ascii="宋体" w:hAnsi="宋体" w:eastAsia="宋体" w:cs="宋体"/>
          <w:b w:val="0"/>
          <w:bCs/>
          <w:highlight w:val="yellow"/>
          <w:lang w:val="en-US" w:eastAsia="zh-CN"/>
        </w:rPr>
        <w:t>应不大于</w:t>
      </w:r>
      <w:r>
        <w:rPr>
          <w:rFonts w:hint="eastAsia" w:ascii="宋体" w:hAnsi="宋体" w:eastAsia="宋体" w:cs="宋体"/>
          <w:b w:val="0"/>
          <w:bCs/>
          <w:lang w:val="en-US" w:eastAsia="zh-CN"/>
        </w:rPr>
        <w:t>0.5%。</w:t>
      </w:r>
    </w:p>
    <w:p>
      <w:pPr>
        <w:pStyle w:val="37"/>
        <w:spacing w:before="120" w:after="120"/>
        <w:rPr>
          <w:rFonts w:hint="eastAsia" w:ascii="黑体" w:hAnsi="黑体" w:eastAsia="黑体" w:cs="黑体"/>
        </w:rPr>
      </w:pPr>
      <w:r>
        <w:rPr>
          <w:rFonts w:hint="eastAsia" w:ascii="黑体" w:hAnsi="黑体" w:eastAsia="黑体" w:cs="黑体"/>
          <w:lang w:val="en-US" w:eastAsia="zh-CN"/>
        </w:rPr>
        <w:t>接线技术要求</w:t>
      </w:r>
    </w:p>
    <w:p>
      <w:pPr>
        <w:pStyle w:val="19"/>
        <w:rPr>
          <w:rFonts w:hint="eastAsia" w:asciiTheme="minorEastAsia" w:hAnsiTheme="minorEastAsia" w:eastAsiaTheme="minorEastAsia" w:cstheme="minorEastAsia"/>
          <w:lang w:val="en-US"/>
        </w:rPr>
      </w:pPr>
      <w:r>
        <w:rPr>
          <w:rFonts w:hint="eastAsia" w:asciiTheme="minorEastAsia" w:hAnsiTheme="minorEastAsia" w:eastAsiaTheme="minorEastAsia" w:cstheme="minorEastAsia"/>
          <w:lang w:val="en-US" w:eastAsia="zh-CN"/>
        </w:rPr>
        <w:t>二次回路接线技术相关要求如下：</w:t>
      </w:r>
    </w:p>
    <w:p>
      <w:pPr>
        <w:pStyle w:val="38"/>
        <w:numPr>
          <w:ilvl w:val="0"/>
          <w:numId w:val="10"/>
        </w:numPr>
        <w:rPr>
          <w:rFonts w:hint="eastAsia" w:ascii="宋体" w:hAnsi="宋体" w:eastAsia="宋体" w:cs="宋体"/>
        </w:rPr>
      </w:pPr>
      <w:r>
        <w:rPr>
          <w:rFonts w:hint="eastAsia" w:ascii="宋体" w:hAnsi="宋体" w:eastAsia="宋体" w:cs="宋体"/>
          <w:b w:val="0"/>
          <w:bCs/>
        </w:rPr>
        <w:t>在有振动的地方，应采取防止导线接头松脱和继电器、装置误动作的措施</w:t>
      </w:r>
      <w:r>
        <w:rPr>
          <w:rFonts w:hint="eastAsia" w:ascii="宋体" w:hAnsi="宋体" w:eastAsia="宋体" w:cs="宋体"/>
          <w:b w:val="0"/>
          <w:bCs/>
          <w:lang w:eastAsia="zh-CN"/>
        </w:rPr>
        <w:t>。</w:t>
      </w:r>
    </w:p>
    <w:p>
      <w:pPr>
        <w:pStyle w:val="38"/>
        <w:numPr>
          <w:ilvl w:val="0"/>
          <w:numId w:val="10"/>
        </w:numPr>
        <w:rPr>
          <w:rFonts w:hint="eastAsia" w:ascii="宋体" w:hAnsi="宋体" w:eastAsia="宋体" w:cs="宋体"/>
        </w:rPr>
      </w:pPr>
      <w:r>
        <w:rPr>
          <w:rFonts w:hint="eastAsia" w:ascii="宋体" w:hAnsi="宋体" w:eastAsia="宋体" w:cs="宋体"/>
          <w:b w:val="0"/>
          <w:bCs/>
          <w:lang w:eastAsia="zh-CN"/>
        </w:rPr>
        <w:t>端子排一般布置在屏、柜两侧，端子排导轨垂直安装，端子水平安装，试验端子连接片（划片）宜水平放置。保证连接片（划片）在划动方向上不会受到重力影响导致端子开路。</w:t>
      </w:r>
    </w:p>
    <w:p>
      <w:pPr>
        <w:pStyle w:val="38"/>
        <w:numPr>
          <w:ilvl w:val="0"/>
          <w:numId w:val="10"/>
        </w:numPr>
        <w:rPr>
          <w:rFonts w:hint="eastAsia" w:ascii="宋体" w:hAnsi="宋体" w:eastAsia="宋体" w:cs="宋体"/>
        </w:rPr>
      </w:pPr>
      <w:r>
        <w:rPr>
          <w:rFonts w:hint="eastAsia" w:ascii="宋体" w:hAnsi="宋体" w:eastAsia="宋体" w:cs="宋体"/>
          <w:b w:val="0"/>
          <w:bCs/>
          <w:lang w:val="en-US" w:eastAsia="zh-CN"/>
        </w:rPr>
        <w:t>小母线应采用直径不小于6mm的铜棒或铜管，铜棒或铜管应加装绝缘套。小母线两侧应有标明代号或名称的绝缘标识牌，标识牌的字迹应清晰、工整，不易脱色。</w:t>
      </w:r>
    </w:p>
    <w:p>
      <w:pPr>
        <w:pStyle w:val="38"/>
        <w:numPr>
          <w:ilvl w:val="0"/>
          <w:numId w:val="10"/>
        </w:numPr>
        <w:rPr>
          <w:rFonts w:hint="eastAsia" w:ascii="宋体" w:hAnsi="宋体" w:eastAsia="宋体" w:cs="宋体"/>
        </w:rPr>
      </w:pPr>
      <w:r>
        <w:rPr>
          <w:rFonts w:hint="eastAsia" w:ascii="宋体" w:hAnsi="宋体" w:eastAsia="宋体" w:cs="宋体"/>
          <w:b w:val="0"/>
          <w:bCs/>
          <w:lang w:val="en-US" w:eastAsia="zh-CN"/>
        </w:rPr>
        <w:t>屏顶上小母线不同相或不同极的裸露载流部分之间，以及裸露载流部分与未经绝缘的金属体之间，其电气间隙</w:t>
      </w:r>
      <w:r>
        <w:rPr>
          <w:rFonts w:hint="eastAsia" w:hAnsi="宋体" w:cs="宋体"/>
          <w:b w:val="0"/>
          <w:bCs/>
          <w:highlight w:val="yellow"/>
          <w:lang w:val="en-US" w:eastAsia="zh-CN"/>
        </w:rPr>
        <w:t>应不小于</w:t>
      </w:r>
      <w:r>
        <w:rPr>
          <w:rFonts w:hint="eastAsia" w:ascii="宋体" w:hAnsi="宋体" w:eastAsia="宋体" w:cs="宋体"/>
          <w:b w:val="0"/>
          <w:bCs/>
          <w:lang w:val="en-US" w:eastAsia="zh-CN"/>
        </w:rPr>
        <w:t>12mm，爬电距离</w:t>
      </w:r>
      <w:r>
        <w:rPr>
          <w:rFonts w:hint="eastAsia" w:hAnsi="宋体" w:cs="宋体"/>
          <w:b w:val="0"/>
          <w:bCs/>
          <w:highlight w:val="yellow"/>
          <w:lang w:val="en-US" w:eastAsia="zh-CN"/>
        </w:rPr>
        <w:t>应不小于</w:t>
      </w:r>
      <w:r>
        <w:rPr>
          <w:rFonts w:hint="eastAsia" w:ascii="宋体" w:hAnsi="宋体" w:eastAsia="宋体" w:cs="宋体"/>
          <w:b w:val="0"/>
          <w:bCs/>
          <w:lang w:val="en-US" w:eastAsia="zh-CN"/>
        </w:rPr>
        <w:t>20mm。</w:t>
      </w:r>
    </w:p>
    <w:p>
      <w:pPr>
        <w:pStyle w:val="38"/>
        <w:numPr>
          <w:ilvl w:val="0"/>
          <w:numId w:val="10"/>
        </w:numPr>
        <w:rPr>
          <w:rFonts w:hint="eastAsia" w:ascii="宋体" w:hAnsi="宋体" w:eastAsia="宋体" w:cs="宋体"/>
        </w:rPr>
      </w:pPr>
      <w:r>
        <w:rPr>
          <w:rFonts w:hint="eastAsia" w:ascii="宋体" w:hAnsi="宋体" w:eastAsia="宋体" w:cs="宋体"/>
          <w:b w:val="0"/>
          <w:bCs/>
          <w:lang w:val="en-US"/>
        </w:rPr>
        <w:t>每个接线端子的每侧接线</w:t>
      </w:r>
      <w:r>
        <w:rPr>
          <w:rFonts w:hint="eastAsia" w:ascii="宋体" w:hAnsi="宋体" w:eastAsia="宋体" w:cs="宋体"/>
          <w:b w:val="0"/>
          <w:bCs/>
          <w:lang w:val="en-US" w:eastAsia="zh-CN"/>
        </w:rPr>
        <w:t>应</w:t>
      </w:r>
      <w:r>
        <w:rPr>
          <w:rFonts w:hint="eastAsia" w:ascii="宋体" w:hAnsi="宋体" w:eastAsia="宋体" w:cs="宋体"/>
          <w:b w:val="0"/>
          <w:bCs/>
          <w:lang w:val="en-US"/>
        </w:rPr>
        <w:t>为1根</w:t>
      </w:r>
      <w:r>
        <w:rPr>
          <w:rFonts w:hint="eastAsia" w:ascii="宋体" w:hAnsi="宋体" w:eastAsia="宋体" w:cs="宋体"/>
          <w:b w:val="0"/>
          <w:bCs/>
          <w:lang w:val="en-US" w:eastAsia="zh-CN"/>
        </w:rPr>
        <w:t>，导线截面积</w:t>
      </w:r>
      <w:r>
        <w:rPr>
          <w:rFonts w:hint="eastAsia" w:hAnsi="宋体" w:cs="宋体"/>
          <w:b w:val="0"/>
          <w:bCs/>
          <w:highlight w:val="yellow"/>
          <w:lang w:val="en-US" w:eastAsia="zh-CN"/>
        </w:rPr>
        <w:t>应不大于</w:t>
      </w:r>
      <w:r>
        <w:rPr>
          <w:rFonts w:hint="eastAsia" w:ascii="宋体" w:hAnsi="宋体" w:eastAsia="宋体" w:cs="宋体"/>
          <w:b w:val="0"/>
          <w:bCs/>
          <w:lang w:val="en-US" w:eastAsia="zh-CN"/>
        </w:rPr>
        <w:t>6mm</w:t>
      </w:r>
      <w:r>
        <w:rPr>
          <w:rFonts w:hint="eastAsia" w:ascii="宋体" w:hAnsi="宋体" w:eastAsia="宋体" w:cs="宋体"/>
          <w:b w:val="0"/>
          <w:bCs/>
          <w:vertAlign w:val="superscript"/>
          <w:lang w:val="en-US" w:eastAsia="zh-CN"/>
        </w:rPr>
        <w:t>2</w:t>
      </w:r>
      <w:r>
        <w:rPr>
          <w:rFonts w:hint="eastAsia" w:ascii="宋体" w:hAnsi="宋体" w:eastAsia="宋体" w:cs="宋体"/>
          <w:b w:val="0"/>
          <w:bCs/>
          <w:lang w:val="en-US" w:eastAsia="zh-CN"/>
        </w:rPr>
        <w:t>；</w:t>
      </w:r>
      <w:r>
        <w:rPr>
          <w:rFonts w:hint="eastAsia" w:ascii="宋体" w:hAnsi="宋体" w:eastAsia="宋体" w:cs="宋体"/>
          <w:b w:val="0"/>
          <w:bCs/>
          <w:lang w:val="en-US"/>
        </w:rPr>
        <w:t>对于插接式端子</w:t>
      </w:r>
      <w:r>
        <w:rPr>
          <w:rFonts w:hint="eastAsia" w:ascii="宋体" w:hAnsi="宋体" w:eastAsia="宋体" w:cs="宋体"/>
          <w:b w:val="0"/>
          <w:bCs/>
          <w:lang w:val="en-US" w:eastAsia="zh-CN"/>
        </w:rPr>
        <w:t>，</w:t>
      </w:r>
      <w:r>
        <w:rPr>
          <w:rFonts w:hint="eastAsia" w:ascii="宋体" w:hAnsi="宋体" w:eastAsia="宋体" w:cs="宋体"/>
          <w:b w:val="0"/>
          <w:bCs/>
          <w:lang w:val="en-US"/>
        </w:rPr>
        <w:t>不同截面的两根导线不得接在同一端子中</w:t>
      </w:r>
      <w:r>
        <w:rPr>
          <w:rFonts w:hint="eastAsia" w:ascii="宋体" w:hAnsi="宋体" w:eastAsia="宋体" w:cs="宋体"/>
          <w:b w:val="0"/>
          <w:bCs/>
          <w:lang w:val="en-US" w:eastAsia="zh-CN"/>
        </w:rPr>
        <w:t>；</w:t>
      </w:r>
      <w:r>
        <w:rPr>
          <w:rFonts w:hint="eastAsia" w:ascii="宋体" w:hAnsi="宋体" w:eastAsia="宋体" w:cs="宋体"/>
          <w:b w:val="0"/>
          <w:bCs/>
          <w:lang w:val="en-US"/>
        </w:rPr>
        <w:t>螺栓连接端子接两根导线时</w:t>
      </w:r>
      <w:r>
        <w:rPr>
          <w:rFonts w:hint="eastAsia" w:ascii="宋体" w:hAnsi="宋体" w:eastAsia="宋体" w:cs="宋体"/>
          <w:b w:val="0"/>
          <w:bCs/>
          <w:lang w:val="en-US" w:eastAsia="zh-CN"/>
        </w:rPr>
        <w:t>，</w:t>
      </w:r>
      <w:r>
        <w:rPr>
          <w:rFonts w:hint="eastAsia" w:ascii="宋体" w:hAnsi="宋体" w:eastAsia="宋体" w:cs="宋体"/>
          <w:b w:val="0"/>
          <w:bCs/>
          <w:lang w:val="en-US"/>
        </w:rPr>
        <w:t>中间应加平垫片</w:t>
      </w:r>
      <w:r>
        <w:rPr>
          <w:rFonts w:hint="eastAsia" w:ascii="宋体" w:hAnsi="宋体" w:eastAsia="宋体" w:cs="宋体"/>
          <w:b w:val="0"/>
          <w:bCs/>
          <w:lang w:val="en-US" w:eastAsia="zh-CN"/>
        </w:rPr>
        <w:t>。</w:t>
      </w:r>
    </w:p>
    <w:p>
      <w:pPr>
        <w:pStyle w:val="38"/>
        <w:numPr>
          <w:ilvl w:val="0"/>
          <w:numId w:val="10"/>
        </w:numPr>
        <w:rPr>
          <w:rFonts w:hint="eastAsia" w:ascii="宋体" w:hAnsi="宋体" w:eastAsia="宋体" w:cs="宋体"/>
        </w:rPr>
      </w:pPr>
      <w:r>
        <w:rPr>
          <w:rFonts w:hint="eastAsia" w:ascii="宋体" w:hAnsi="宋体" w:eastAsia="宋体" w:cs="宋体"/>
          <w:b w:val="0"/>
          <w:bCs/>
          <w:lang w:val="en-US" w:eastAsia="zh-CN"/>
        </w:rPr>
        <w:t>屏、柜内的电缆芯线接线应牢固、排列整齐，并应留有适当裕度，不得使所接端子承受机械应力；备用芯线应引至盘、柜顶部或线槽末端，并应标明备用标识，芯线导体不得外露。</w:t>
      </w:r>
    </w:p>
    <w:p>
      <w:pPr>
        <w:pStyle w:val="38"/>
        <w:numPr>
          <w:ilvl w:val="0"/>
          <w:numId w:val="10"/>
        </w:numPr>
        <w:rPr>
          <w:rFonts w:hint="eastAsia" w:ascii="宋体" w:hAnsi="宋体" w:eastAsia="宋体" w:cs="宋体"/>
        </w:rPr>
      </w:pPr>
      <w:r>
        <w:rPr>
          <w:rFonts w:hint="eastAsia" w:ascii="宋体" w:hAnsi="宋体" w:eastAsia="宋体" w:cs="宋体"/>
          <w:b w:val="0"/>
          <w:bCs/>
          <w:lang w:val="en-US"/>
        </w:rPr>
        <w:t>导线用于连接门上的电器、控制台板等可动部位时</w:t>
      </w:r>
      <w:r>
        <w:rPr>
          <w:rFonts w:hint="eastAsia" w:ascii="宋体" w:hAnsi="宋体" w:eastAsia="宋体" w:cs="宋体"/>
          <w:b w:val="0"/>
          <w:bCs/>
          <w:lang w:val="en-US" w:eastAsia="zh-CN"/>
        </w:rPr>
        <w:t>，</w:t>
      </w:r>
      <w:r>
        <w:rPr>
          <w:rFonts w:hint="eastAsia" w:ascii="宋体" w:hAnsi="宋体" w:eastAsia="宋体" w:cs="宋体"/>
          <w:b w:val="0"/>
          <w:bCs/>
          <w:lang w:val="en-US"/>
        </w:rPr>
        <w:t>应符合下列规定</w:t>
      </w:r>
      <w:r>
        <w:rPr>
          <w:rFonts w:hint="eastAsia" w:ascii="宋体" w:hAnsi="宋体" w:eastAsia="宋体" w:cs="宋体"/>
          <w:b w:val="0"/>
          <w:bCs/>
          <w:lang w:val="en-US" w:eastAsia="zh-CN"/>
        </w:rPr>
        <w:t>：</w:t>
      </w:r>
      <w:r>
        <w:rPr>
          <w:rFonts w:hint="eastAsia" w:ascii="宋体" w:hAnsi="宋体" w:eastAsia="宋体" w:cs="宋体"/>
          <w:b w:val="0"/>
          <w:bCs/>
          <w:lang w:val="en-US"/>
        </w:rPr>
        <w:t>应采用多股软导线</w:t>
      </w:r>
      <w:r>
        <w:rPr>
          <w:rFonts w:hint="eastAsia" w:ascii="宋体" w:hAnsi="宋体" w:eastAsia="宋体" w:cs="宋体"/>
          <w:b w:val="0"/>
          <w:bCs/>
          <w:lang w:val="en-US" w:eastAsia="zh-CN"/>
        </w:rPr>
        <w:t>，</w:t>
      </w:r>
      <w:r>
        <w:rPr>
          <w:rFonts w:hint="eastAsia" w:ascii="宋体" w:hAnsi="宋体" w:eastAsia="宋体" w:cs="宋体"/>
          <w:b w:val="0"/>
          <w:bCs/>
          <w:lang w:val="en-US"/>
        </w:rPr>
        <w:t>敷设长度应有适当裕度</w:t>
      </w:r>
      <w:r>
        <w:rPr>
          <w:rFonts w:hint="eastAsia" w:ascii="宋体" w:hAnsi="宋体" w:eastAsia="宋体" w:cs="宋体"/>
          <w:b w:val="0"/>
          <w:bCs/>
          <w:lang w:val="en-US" w:eastAsia="zh-CN"/>
        </w:rPr>
        <w:t>；</w:t>
      </w:r>
      <w:r>
        <w:rPr>
          <w:rFonts w:hint="eastAsia" w:ascii="宋体" w:hAnsi="宋体" w:eastAsia="宋体" w:cs="宋体"/>
          <w:b w:val="0"/>
          <w:bCs/>
          <w:lang w:val="en-US"/>
        </w:rPr>
        <w:t>线束应有外套塑料缠绕管保护</w:t>
      </w:r>
      <w:r>
        <w:rPr>
          <w:rFonts w:hint="eastAsia" w:ascii="宋体" w:hAnsi="宋体" w:eastAsia="宋体" w:cs="宋体"/>
          <w:b w:val="0"/>
          <w:bCs/>
          <w:lang w:val="en-US" w:eastAsia="zh-CN"/>
        </w:rPr>
        <w:t>；</w:t>
      </w:r>
      <w:r>
        <w:rPr>
          <w:rFonts w:hint="eastAsia" w:ascii="宋体" w:hAnsi="宋体" w:eastAsia="宋体" w:cs="宋体"/>
          <w:b w:val="0"/>
          <w:bCs/>
          <w:lang w:val="en-US"/>
        </w:rPr>
        <w:t>与电器连接时</w:t>
      </w:r>
      <w:r>
        <w:rPr>
          <w:rFonts w:hint="eastAsia" w:ascii="宋体" w:hAnsi="宋体" w:eastAsia="宋体" w:cs="宋体"/>
          <w:b w:val="0"/>
          <w:bCs/>
          <w:lang w:val="en-US" w:eastAsia="zh-CN"/>
        </w:rPr>
        <w:t>，</w:t>
      </w:r>
      <w:r>
        <w:rPr>
          <w:rFonts w:hint="eastAsia" w:ascii="宋体" w:hAnsi="宋体" w:eastAsia="宋体" w:cs="宋体"/>
          <w:b w:val="0"/>
          <w:bCs/>
          <w:lang w:val="en-US"/>
        </w:rPr>
        <w:t>端部应压接终端附件。</w:t>
      </w:r>
    </w:p>
    <w:p>
      <w:pPr>
        <w:pStyle w:val="38"/>
        <w:numPr>
          <w:ilvl w:val="0"/>
          <w:numId w:val="10"/>
        </w:numPr>
        <w:rPr>
          <w:rFonts w:hint="eastAsia" w:ascii="宋体" w:hAnsi="宋体" w:eastAsia="宋体" w:cs="宋体"/>
        </w:rPr>
      </w:pPr>
      <w:r>
        <w:rPr>
          <w:rFonts w:hint="eastAsia" w:ascii="宋体" w:hAnsi="宋体" w:eastAsia="宋体" w:cs="宋体"/>
          <w:b w:val="0"/>
          <w:bCs/>
          <w:lang w:val="en-US" w:eastAsia="zh-CN"/>
        </w:rPr>
        <w:t>铠装电缆进入屏、柜后，应将钢带切断，切断处应扎紧，钢带应在屏、柜侧一点接地。</w:t>
      </w:r>
    </w:p>
    <w:p>
      <w:pPr>
        <w:pStyle w:val="36"/>
        <w:spacing w:before="120" w:after="120"/>
      </w:pPr>
      <w:bookmarkStart w:id="71" w:name="_Toc27474"/>
      <w:bookmarkStart w:id="72" w:name="_Toc20881"/>
      <w:bookmarkStart w:id="73" w:name="_Toc16808"/>
      <w:r>
        <w:rPr>
          <w:rFonts w:hint="eastAsia" w:ascii="Times New Roman" w:hAnsi="Times New Roman"/>
          <w:b w:val="0"/>
          <w:bCs/>
          <w:lang w:val="en-US" w:eastAsia="zh-CN"/>
        </w:rPr>
        <w:t>运行阶段</w:t>
      </w:r>
      <w:r>
        <w:rPr>
          <w:rFonts w:hint="eastAsia" w:ascii="Times New Roman" w:hAnsi="Times New Roman"/>
          <w:b w:val="0"/>
          <w:bCs/>
          <w:lang w:eastAsia="zh-CN"/>
        </w:rPr>
        <w:t>技术要求</w:t>
      </w:r>
      <w:bookmarkEnd w:id="71"/>
      <w:bookmarkEnd w:id="72"/>
      <w:bookmarkEnd w:id="73"/>
    </w:p>
    <w:p>
      <w:pPr>
        <w:pStyle w:val="37"/>
        <w:spacing w:before="0" w:beforeLines="0" w:after="0" w:afterLines="0"/>
        <w:rPr>
          <w:rFonts w:hint="eastAsia" w:ascii="宋体" w:hAnsi="宋体" w:eastAsia="宋体" w:cs="宋体"/>
          <w:lang w:val="en-US" w:eastAsia="zh-CN"/>
        </w:rPr>
      </w:pPr>
      <w:r>
        <w:rPr>
          <w:rFonts w:hint="eastAsia" w:ascii="宋体" w:hAnsi="宋体" w:eastAsia="宋体" w:cs="宋体"/>
          <w:lang w:val="en-US" w:eastAsia="zh-CN"/>
        </w:rPr>
        <w:t>规范现场人员作业行为，防止发生人身伤亡、设备损坏和继电保护“三误”（误碰、误接线、误整定）事故，保证电力系统一、二次设备的安全运行。</w:t>
      </w:r>
    </w:p>
    <w:p>
      <w:pPr>
        <w:pStyle w:val="37"/>
        <w:spacing w:before="0" w:beforeLines="0" w:after="0" w:afterLines="0"/>
        <w:rPr>
          <w:rFonts w:hint="eastAsia" w:ascii="宋体" w:hAnsi="宋体" w:eastAsia="宋体" w:cs="宋体"/>
          <w:lang w:val="en-US" w:eastAsia="zh-CN"/>
        </w:rPr>
      </w:pPr>
      <w:r>
        <w:rPr>
          <w:rFonts w:hint="eastAsia" w:ascii="宋体" w:hAnsi="宋体" w:eastAsia="宋体" w:cs="宋体"/>
          <w:lang w:val="en-US" w:eastAsia="zh-CN"/>
        </w:rPr>
        <w:t>检修设备在投运前，应</w:t>
      </w:r>
      <w:r>
        <w:rPr>
          <w:rFonts w:hint="eastAsia" w:ascii="宋体" w:hAnsi="宋体" w:eastAsia="宋体" w:cs="宋体"/>
          <w:bCs/>
          <w:highlight w:val="yellow"/>
          <w:lang w:val="en-US" w:eastAsia="zh-CN"/>
        </w:rPr>
        <w:t>检查</w:t>
      </w:r>
      <w:r>
        <w:rPr>
          <w:rFonts w:hint="eastAsia" w:ascii="宋体" w:hAnsi="宋体" w:eastAsia="宋体" w:cs="宋体"/>
          <w:lang w:val="en-US" w:eastAsia="zh-CN"/>
        </w:rPr>
        <w:t>各项安全措施恢复情况，防止电压二次回路（特别是开口三角回路）短路、电流二次回路（特别是备用的二次回路）开路和不符合运行要求的接地点的现象。</w:t>
      </w:r>
    </w:p>
    <w:p>
      <w:pPr>
        <w:pStyle w:val="37"/>
        <w:spacing w:before="0" w:beforeLines="0" w:after="0" w:afterLines="0"/>
        <w:rPr>
          <w:rFonts w:hint="eastAsia" w:ascii="宋体" w:hAnsi="宋体" w:eastAsia="宋体" w:cs="宋体"/>
          <w:lang w:val="en-US" w:eastAsia="zh-CN"/>
        </w:rPr>
      </w:pPr>
      <w:r>
        <w:rPr>
          <w:rFonts w:hint="eastAsia" w:ascii="宋体" w:hAnsi="宋体" w:eastAsia="宋体" w:cs="宋体"/>
          <w:lang w:val="en-US" w:eastAsia="zh-CN"/>
        </w:rPr>
        <w:t>结合技术监督检查、检修和运行维护工作，检查本单位继电保护接地系统和抗干扰措施是否处于良好状态。</w:t>
      </w:r>
    </w:p>
    <w:p>
      <w:pPr>
        <w:pStyle w:val="37"/>
        <w:spacing w:before="0" w:beforeLines="0" w:after="0" w:afterLines="0"/>
        <w:rPr>
          <w:rFonts w:hint="eastAsia" w:ascii="宋体" w:hAnsi="宋体" w:eastAsia="宋体" w:cs="宋体"/>
          <w:lang w:val="en-US" w:eastAsia="zh-CN"/>
        </w:rPr>
      </w:pPr>
      <w:r>
        <w:rPr>
          <w:rFonts w:hint="eastAsia" w:ascii="宋体" w:hAnsi="宋体" w:eastAsia="宋体" w:cs="宋体"/>
          <w:lang w:val="en-US" w:eastAsia="zh-CN"/>
        </w:rPr>
        <w:t>对运行中的保护装置的外部接线进行改动，应履行如下程序：先在原图上作好修改，经主管技术领导批准；应按图施工；拆动二次回路时应逐一作好记录，恢复时严格核对；改完后，应作相应的逻辑回路整组试验，确认回路、极性及整定值完全正确，然后交由值班运行人员确认后再申请投入运行；完成工作后，应立即通知现场与主管继电保护部门修改图纸，工作负责人在现场修改图上签字，没有修改的原图应作废。</w:t>
      </w:r>
    </w:p>
    <w:p>
      <w:pPr>
        <w:pStyle w:val="36"/>
        <w:spacing w:before="120" w:after="120"/>
      </w:pPr>
      <w:bookmarkStart w:id="74" w:name="_Toc9079"/>
      <w:bookmarkStart w:id="75" w:name="_Toc21971"/>
      <w:bookmarkStart w:id="76" w:name="_Toc19619"/>
      <w:r>
        <w:rPr>
          <w:rFonts w:hint="eastAsia" w:ascii="Times New Roman" w:hAnsi="Times New Roman"/>
          <w:b w:val="0"/>
          <w:bCs/>
          <w:lang w:val="en-US" w:eastAsia="zh-CN"/>
        </w:rPr>
        <w:t>维护检修阶段</w:t>
      </w:r>
      <w:r>
        <w:rPr>
          <w:rFonts w:hint="eastAsia" w:ascii="Times New Roman" w:hAnsi="Times New Roman"/>
          <w:b w:val="0"/>
          <w:bCs/>
          <w:lang w:eastAsia="zh-CN"/>
        </w:rPr>
        <w:t>技术要求</w:t>
      </w:r>
      <w:bookmarkEnd w:id="74"/>
      <w:bookmarkEnd w:id="75"/>
      <w:bookmarkEnd w:id="76"/>
    </w:p>
    <w:p>
      <w:pPr>
        <w:pStyle w:val="37"/>
        <w:spacing w:before="120" w:after="120"/>
        <w:rPr>
          <w:rFonts w:hint="eastAsia" w:ascii="黑体" w:hAnsi="黑体" w:eastAsia="黑体" w:cs="黑体"/>
          <w:lang w:val="en-US" w:eastAsia="zh-CN"/>
        </w:rPr>
      </w:pPr>
      <w:r>
        <w:rPr>
          <w:rFonts w:hint="eastAsia" w:ascii="黑体" w:hAnsi="黑体" w:eastAsia="黑体" w:cs="黑体"/>
          <w:lang w:val="en-US" w:eastAsia="zh-CN"/>
        </w:rPr>
        <w:t>基本要求</w:t>
      </w:r>
    </w:p>
    <w:p>
      <w:pPr>
        <w:pStyle w:val="1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维护检修阶段的基本要求如下：</w:t>
      </w:r>
    </w:p>
    <w:p>
      <w:pPr>
        <w:pStyle w:val="38"/>
        <w:numPr>
          <w:ilvl w:val="0"/>
          <w:numId w:val="11"/>
        </w:numPr>
        <w:rPr>
          <w:rFonts w:hint="eastAsia" w:ascii="宋体" w:hAnsi="宋体" w:eastAsia="宋体" w:cs="宋体"/>
        </w:rPr>
      </w:pPr>
      <w:r>
        <w:rPr>
          <w:rFonts w:hint="eastAsia" w:ascii="Times New Roman" w:hAnsi="Times New Roman" w:cs="Times New Roman"/>
          <w:b w:val="0"/>
          <w:bCs/>
        </w:rPr>
        <w:t>继电保护现场工作应至少有二人参加。现场工作人员应熟悉继电保护及自动装置和相关二次回路</w:t>
      </w:r>
      <w:r>
        <w:rPr>
          <w:rFonts w:hint="eastAsia" w:ascii="Times New Roman" w:hAnsi="Times New Roman" w:cs="Times New Roman"/>
          <w:b w:val="0"/>
          <w:bCs/>
          <w:lang w:eastAsia="zh-CN"/>
        </w:rPr>
        <w:t>。</w:t>
      </w:r>
    </w:p>
    <w:p>
      <w:pPr>
        <w:pStyle w:val="38"/>
        <w:numPr>
          <w:ilvl w:val="0"/>
          <w:numId w:val="11"/>
        </w:numPr>
        <w:rPr>
          <w:rFonts w:hint="eastAsia" w:ascii="宋体" w:hAnsi="宋体" w:eastAsia="宋体" w:cs="宋体"/>
        </w:rPr>
      </w:pPr>
      <w:r>
        <w:rPr>
          <w:rFonts w:hint="eastAsia" w:ascii="Times New Roman" w:hAnsi="Times New Roman" w:cs="Times New Roman"/>
          <w:b w:val="0"/>
          <w:bCs/>
        </w:rPr>
        <w:t>工作人员在现场工作过程中，遇到异常情况（如直流系统接地等）或断路器跳闸，应立即停止工作，保持现状，待查明原因，确定与本工作无关并得到运行人员许可后，方可继续工作。若异常情况或断路器跳闸是本身工作引起，应保留现场，立即通知运行人员，以便及时处理</w:t>
      </w:r>
      <w:r>
        <w:rPr>
          <w:rFonts w:hint="eastAsia" w:ascii="Times New Roman" w:hAnsi="Times New Roman" w:cs="Times New Roman"/>
          <w:b w:val="0"/>
          <w:bCs/>
          <w:lang w:eastAsia="zh-CN"/>
        </w:rPr>
        <w:t>。</w:t>
      </w:r>
    </w:p>
    <w:p>
      <w:pPr>
        <w:pStyle w:val="38"/>
        <w:numPr>
          <w:ilvl w:val="0"/>
          <w:numId w:val="11"/>
        </w:numPr>
        <w:rPr>
          <w:rFonts w:hint="eastAsia" w:ascii="宋体" w:hAnsi="宋体" w:eastAsia="宋体" w:cs="宋体"/>
        </w:rPr>
      </w:pPr>
      <w:r>
        <w:rPr>
          <w:rFonts w:hint="eastAsia" w:ascii="Times New Roman" w:hAnsi="Times New Roman" w:cs="Times New Roman"/>
          <w:b w:val="0"/>
          <w:bCs/>
        </w:rPr>
        <w:t>继电保护人员在发现直接危及人身、设备和电网安全的紧急情况时，应停止作业或在采取可能的紧急措施后撤离作业场所，并立即报告</w:t>
      </w:r>
      <w:r>
        <w:rPr>
          <w:rFonts w:hint="eastAsia" w:ascii="Times New Roman" w:hAnsi="Times New Roman" w:cs="Times New Roman"/>
          <w:b w:val="0"/>
          <w:bCs/>
          <w:lang w:eastAsia="zh-CN"/>
        </w:rPr>
        <w:t>。</w:t>
      </w:r>
    </w:p>
    <w:p>
      <w:pPr>
        <w:pStyle w:val="37"/>
        <w:spacing w:before="120" w:after="120"/>
        <w:rPr>
          <w:rFonts w:hint="eastAsia" w:ascii="黑体" w:hAnsi="黑体" w:eastAsia="黑体" w:cs="黑体"/>
          <w:lang w:val="en-US" w:eastAsia="zh-CN"/>
        </w:rPr>
      </w:pPr>
      <w:r>
        <w:rPr>
          <w:rFonts w:hint="eastAsia" w:ascii="黑体" w:hAnsi="黑体" w:eastAsia="黑体" w:cs="黑体"/>
          <w:lang w:val="en-US" w:eastAsia="zh-CN"/>
        </w:rPr>
        <w:t>工作前准备</w:t>
      </w:r>
    </w:p>
    <w:p>
      <w:pPr>
        <w:pStyle w:val="1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维护检修阶段的工作前应进行如下准备：</w:t>
      </w:r>
    </w:p>
    <w:p>
      <w:pPr>
        <w:pStyle w:val="38"/>
        <w:numPr>
          <w:ilvl w:val="0"/>
          <w:numId w:val="12"/>
        </w:numPr>
        <w:rPr>
          <w:rFonts w:hint="eastAsia" w:ascii="宋体" w:hAnsi="宋体" w:eastAsia="宋体" w:cs="宋体"/>
        </w:rPr>
      </w:pPr>
      <w:r>
        <w:rPr>
          <w:rFonts w:hint="eastAsia" w:ascii="宋体" w:hAnsi="宋体" w:eastAsia="宋体" w:cs="宋体"/>
          <w:b w:val="0"/>
          <w:bCs/>
        </w:rPr>
        <w:t>检验前应确认相关资料齐全准确。资料包括：装置的原理接线图(设计图)及与之相符合的二次回路安装图，电缆敷设图，电缆编号图，断路器操作机构图，CT、PT端子箱图及二次回路分线箱图等全部图纸，以及成套保护装置的技术说明及断路器操作机构说明，CT、PT的出厂试验报告等</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根据设计图纸，到现场核对所有装置的安装位置是否正确，CT的安装位置是否合适，有无保护死区等</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对扩建</w:t>
      </w:r>
      <w:r>
        <w:rPr>
          <w:rFonts w:hint="eastAsia" w:ascii="宋体" w:hAnsi="宋体" w:eastAsia="宋体" w:cs="宋体"/>
          <w:b w:val="0"/>
          <w:bCs/>
          <w:lang w:eastAsia="zh-CN"/>
        </w:rPr>
        <w:t>项目</w:t>
      </w:r>
      <w:r>
        <w:rPr>
          <w:rFonts w:hint="eastAsia" w:ascii="宋体" w:hAnsi="宋体" w:eastAsia="宋体" w:cs="宋体"/>
          <w:b w:val="0"/>
          <w:bCs/>
        </w:rPr>
        <w:t>，除应了解设备的一次接线外，还应了解与已运行的设备有关联部分的详细情况(例如新投线路的母线差动保护回路如何接入运行中的母线差动保护的回路中等)，按现场的具体情况订出现场工作的安全措施，以防止发生误碰运行设备的事故</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了解工作地点、工作范围、一次设备和二次设备运行情况，与本工作有联系的运行设备，如失灵保护、远方跳闸、自动装置、联跳回路、重合闸、故障录波装置、变电站自动化系统、继电保护及故障信息管理系统等，了解需要与其它专业配合的工作</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应具备与实际状况一致的图纸、上次检验报告、最新整定通知单、标准化作业指导书、保护装置说明书、现场运行规程，合格的仪器、仪表、工具、连接导线和备品备件。确认微机型继电保护和自动装置的软件版本符合要求，试验仪器使用的电源正确</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工作人员应分工明确，熟悉图纸和检验规程等有关资料</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对重要和复杂保护装置，如母线保护、失灵保护、主变压器保护、远方跳闸、有联跳回路的保护装置、自动装置和备自投装置等的现场检验工作，应编制经技术负责人审批的检验方案和继电保护安全措施票</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现场工作中遇有下列情况应填写继电保护安全措施票</w:t>
      </w:r>
      <w:r>
        <w:rPr>
          <w:rFonts w:hint="eastAsia" w:ascii="宋体" w:hAnsi="宋体" w:eastAsia="宋体" w:cs="宋体"/>
          <w:b w:val="0"/>
          <w:bCs/>
          <w:lang w:eastAsia="zh-CN"/>
        </w:rPr>
        <w:t>：</w:t>
      </w:r>
    </w:p>
    <w:p>
      <w:pPr>
        <w:pStyle w:val="53"/>
        <w:numPr>
          <w:ilvl w:val="0"/>
          <w:numId w:val="12"/>
        </w:numPr>
        <w:tabs>
          <w:tab w:val="left" w:pos="851"/>
        </w:tabs>
        <w:rPr>
          <w:rFonts w:hint="eastAsia" w:ascii="宋体" w:hAnsi="宋体" w:eastAsia="宋体" w:cs="宋体"/>
        </w:rPr>
      </w:pPr>
      <w:r>
        <w:rPr>
          <w:rFonts w:hint="eastAsia" w:ascii="宋体" w:hAnsi="宋体" w:eastAsia="宋体" w:cs="宋体"/>
          <w:b w:val="0"/>
          <w:bCs/>
        </w:rPr>
        <w:t>在运行设备的二次回路上进行拆、接线工作；</w:t>
      </w:r>
    </w:p>
    <w:p>
      <w:pPr>
        <w:pStyle w:val="53"/>
        <w:numPr>
          <w:ilvl w:val="0"/>
          <w:numId w:val="12"/>
        </w:numPr>
        <w:tabs>
          <w:tab w:val="left" w:pos="851"/>
        </w:tabs>
        <w:rPr>
          <w:rFonts w:hint="eastAsia" w:ascii="宋体" w:hAnsi="宋体" w:eastAsia="宋体" w:cs="宋体"/>
        </w:rPr>
      </w:pPr>
      <w:r>
        <w:rPr>
          <w:rFonts w:hint="eastAsia" w:ascii="宋体" w:hAnsi="宋体" w:eastAsia="宋体" w:cs="宋体"/>
          <w:b w:val="0"/>
          <w:bCs/>
        </w:rPr>
        <w:t>在对检修设备执行隔离措施时，需断开、短接和恢复与运行设备有联系的二次回路工作</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继电保护安全措施票中“安全措施内容”应按实施的先后顺序逐项填写，按照被断开端子的“保护屏（柜）（或现场端子箱）名称、电缆号、端子号、回路号、功能和安全措施”格式填写</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开工前应核对安全措施票内容和现场接线，确保图纸与实物相符</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在继电保护屏（柜）的前面和后面，以及现场端子箱的前面应有明显的设备名称。若一面屏（柜）上有二个及以上保护设备时，在屏（柜）上应有明显的区分标志</w:t>
      </w:r>
      <w:r>
        <w:rPr>
          <w:rFonts w:hint="eastAsia" w:ascii="宋体" w:hAnsi="宋体" w:eastAsia="宋体" w:cs="宋体"/>
          <w:b w:val="0"/>
          <w:bCs/>
          <w:lang w:eastAsia="zh-CN"/>
        </w:rPr>
        <w:t>。</w:t>
      </w:r>
    </w:p>
    <w:p>
      <w:pPr>
        <w:pStyle w:val="38"/>
        <w:numPr>
          <w:ilvl w:val="0"/>
          <w:numId w:val="12"/>
        </w:numPr>
        <w:rPr>
          <w:rFonts w:hint="eastAsia" w:ascii="宋体" w:hAnsi="宋体" w:eastAsia="宋体" w:cs="宋体"/>
        </w:rPr>
      </w:pPr>
      <w:r>
        <w:rPr>
          <w:rFonts w:hint="eastAsia" w:ascii="宋体" w:hAnsi="宋体" w:eastAsia="宋体" w:cs="宋体"/>
          <w:b w:val="0"/>
          <w:bCs/>
        </w:rPr>
        <w:t>若高压试验、通信、仪表、自动化等专业人员作业影响继电保护和自动装置的正常运行，应办理申批手续，停用相关保护。作业前应填写工作票，工作票中应注明需要停用的保护。在做好安全措施后，方可进行工作</w:t>
      </w:r>
      <w:r>
        <w:rPr>
          <w:rFonts w:hint="eastAsia" w:ascii="宋体" w:hAnsi="宋体" w:eastAsia="宋体" w:cs="宋体"/>
          <w:b w:val="0"/>
          <w:bCs/>
          <w:lang w:eastAsia="zh-CN"/>
        </w:rPr>
        <w:t>。</w:t>
      </w:r>
    </w:p>
    <w:p>
      <w:pPr>
        <w:pStyle w:val="37"/>
        <w:spacing w:before="120" w:after="120"/>
        <w:rPr>
          <w:rFonts w:hint="eastAsia" w:ascii="黑体" w:hAnsi="黑体" w:eastAsia="黑体" w:cs="黑体"/>
          <w:lang w:val="en-US" w:eastAsia="zh-CN"/>
        </w:rPr>
      </w:pPr>
      <w:r>
        <w:rPr>
          <w:rFonts w:hint="eastAsia" w:ascii="黑体" w:hAnsi="黑体" w:eastAsia="黑体" w:cs="黑体"/>
          <w:lang w:val="en-US" w:eastAsia="zh-CN"/>
        </w:rPr>
        <w:t>现场工作</w:t>
      </w:r>
    </w:p>
    <w:p>
      <w:pPr>
        <w:pStyle w:val="1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维护检修阶段的现场工作要求如下：</w:t>
      </w:r>
    </w:p>
    <w:p>
      <w:pPr>
        <w:pStyle w:val="38"/>
        <w:numPr>
          <w:ilvl w:val="0"/>
          <w:numId w:val="13"/>
        </w:numPr>
        <w:rPr>
          <w:rFonts w:hint="eastAsia" w:ascii="宋体" w:hAnsi="宋体" w:eastAsia="宋体" w:cs="宋体"/>
        </w:rPr>
      </w:pPr>
      <w:r>
        <w:rPr>
          <w:rFonts w:hint="eastAsia" w:ascii="宋体" w:hAnsi="宋体" w:eastAsia="宋体" w:cs="宋体"/>
          <w:b w:val="0"/>
          <w:bCs/>
        </w:rPr>
        <w:t>工作人员应逐条核对运行人员做的安全措施（如压板、二次熔丝或二次空气断路器的位置等），确保符合要求。运行人员应在工作屏（柜）的正面和后面设置“在此工作”标志</w:t>
      </w:r>
      <w:r>
        <w:rPr>
          <w:rFonts w:hint="eastAsia" w:hAnsi="宋体" w:cs="宋体"/>
          <w:b w:val="0"/>
          <w:bCs/>
          <w:lang w:eastAsia="zh-CN"/>
        </w:rPr>
        <w:t>；</w:t>
      </w:r>
      <w:r>
        <w:rPr>
          <w:rFonts w:hint="eastAsia" w:ascii="宋体" w:hAnsi="宋体" w:eastAsia="宋体" w:cs="宋体"/>
          <w:b w:val="0"/>
          <w:bCs/>
        </w:rPr>
        <w:t>若工作的屏（柜）上有运行设备，应有明显标志，并采取隔离措施，以便与检验设备分开</w:t>
      </w:r>
      <w:r>
        <w:rPr>
          <w:rFonts w:hint="eastAsia" w:ascii="宋体" w:hAnsi="宋体" w:eastAsia="宋体" w:cs="宋体"/>
          <w:b w:val="0"/>
          <w:bCs/>
          <w:lang w:eastAsia="zh-CN"/>
        </w:rPr>
        <w:t>；</w:t>
      </w:r>
      <w:r>
        <w:rPr>
          <w:rFonts w:hint="eastAsia" w:ascii="宋体" w:hAnsi="宋体" w:eastAsia="宋体" w:cs="宋体"/>
          <w:b w:val="0"/>
          <w:bCs/>
        </w:rPr>
        <w:t>若不同保护对象组合在一面屏（柜）时，应对运行设备及其端子排采取防护措施，如对运行设备的压板、端子排用绝缘胶布贴住或用塑料扣板扣住端子</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运行中的继电保护和自动装置需要检验时，应先断开相关跳闸和合闸压板，再断开装置的工作电源。在继电保护相关工作结束，恢复运行时，应先检查相关跳闸和合闸压板在断开位置。投入工作电源后，检查装置正常，用高内阻的电压表检验压板的每一端对地电位都正确后，才能投入相应出口压板</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在检验继电保护和自动装置时，凡与其它运行设备二次回路相连的压板和接线应有明显标记，应按安全措施票断开或短路有关回路，并做好记录</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更换继电保护和自动装置屏（柜）或拆除旧屏（柜）前，应在有关回路对侧屏（柜）做好安全措施</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对于“和”电流构成的保护，如变压器差动保护、母线差动保护等，若某一断路器或CT作业影响保护和电流回路，作业前应将CT的二次回路与保护装置断开，防止保护装置侧电流回路短路或电流回路两点接地，同时断开该保护跳此断路器的出口压板</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不应在运行的继电保护、自动装置屏（柜）上进行与正常运行操作、停运消缺无关的其它工作。若在运行的继电保护、自动装置屏（柜）附近工作，有可能影响运行设备安全时，应采取防止运行设备误动作的措施</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在现场进行带电工作（包括做安全措施）时，作业人员应使用带绝缘把手的工具（其外露导电部分不应过长，否则应包扎绝缘带）。若在带电的CT二次回路上工作时，还应站在绝缘垫上，以保证人身安全。同时将邻近的带电部分和导体用绝缘器材隔离，防止造成短路或接地</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在试验接线前，应了解试验电源的容量和接线方式。被检验装置和试验仪器不应从运行设备上取试验电源，取试验电源要使用隔离刀闸或空气断路器，隔离刀闸应有熔丝并带罩，防止总电源熔丝越级熔断。核实试验电源的电压值符合要求，试验接线应经第二人复查并告知相关作业人员后方可通电。被检验保护装置的直流电源宜取试验专用直流电源</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现场工作应以图纸为依据，工作中若发现图纸与实际接线不符，应查线核对。如涉及修改图纸，应在图纸上标明修改原因和修改日期，修改人和审核人应在图纸上签字</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改变二次回路接线时，事先应经过审核，拆动接线前要与原图核对，改变接线后要与新图核对，及时修改底图，修改在用和存档的图纸</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改变保护装置接线时，应防止产生寄生回路</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改变直流二次回路后，应进行相应的传动试验。必要时还应模拟各种故障，并进行整组试验</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对交流二次电流、电压回路通电时，应可靠断开至CT、PT二次侧的回路，防止反充电</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CT和PT的二次绕组应有一点接地且仅有一点永久性的接地</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在运行的PT二次回路上工作时，应采取下列安全措施</w:t>
      </w:r>
      <w:r>
        <w:rPr>
          <w:rFonts w:hint="eastAsia" w:ascii="宋体" w:hAnsi="宋体" w:eastAsia="宋体" w:cs="宋体"/>
          <w:b w:val="0"/>
          <w:bCs/>
          <w:lang w:eastAsia="zh-CN"/>
        </w:rPr>
        <w:t>：</w:t>
      </w:r>
      <w:r>
        <w:rPr>
          <w:rFonts w:hint="eastAsia" w:ascii="宋体" w:hAnsi="宋体" w:eastAsia="宋体" w:cs="宋体"/>
          <w:b w:val="0"/>
          <w:bCs/>
        </w:rPr>
        <w:t>不应将PT二次回路短路、接地或断线。必要时，工作前申请停用有关继电保护或自动装置</w:t>
      </w:r>
      <w:r>
        <w:rPr>
          <w:rFonts w:hint="eastAsia" w:ascii="宋体" w:hAnsi="宋体" w:eastAsia="宋体" w:cs="宋体"/>
          <w:b w:val="0"/>
          <w:bCs/>
          <w:lang w:eastAsia="zh-CN"/>
        </w:rPr>
        <w:t>；</w:t>
      </w:r>
      <w:r>
        <w:rPr>
          <w:rFonts w:hint="eastAsia" w:ascii="宋体" w:hAnsi="宋体" w:eastAsia="宋体" w:cs="宋体"/>
          <w:b w:val="0"/>
          <w:bCs/>
        </w:rPr>
        <w:t>接临时负载，应装有专用的隔离开关（刀闸）和熔断器</w:t>
      </w:r>
      <w:r>
        <w:rPr>
          <w:rFonts w:hint="eastAsia" w:ascii="宋体" w:hAnsi="宋体" w:eastAsia="宋体" w:cs="宋体"/>
          <w:b w:val="0"/>
          <w:bCs/>
          <w:lang w:eastAsia="zh-CN"/>
        </w:rPr>
        <w:t>；</w:t>
      </w:r>
      <w:r>
        <w:rPr>
          <w:rFonts w:hint="eastAsia" w:ascii="宋体" w:hAnsi="宋体" w:eastAsia="宋体" w:cs="宋体"/>
          <w:b w:val="0"/>
          <w:bCs/>
        </w:rPr>
        <w:t>不应将回路的永久接地点断开</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在运行的CT二次回路上工作时，应采取下列安全措施</w:t>
      </w:r>
      <w:r>
        <w:rPr>
          <w:rFonts w:hint="eastAsia" w:ascii="宋体" w:hAnsi="宋体" w:eastAsia="宋体" w:cs="宋体"/>
          <w:b w:val="0"/>
          <w:bCs/>
          <w:lang w:eastAsia="zh-CN"/>
        </w:rPr>
        <w:t>：</w:t>
      </w:r>
      <w:r>
        <w:rPr>
          <w:rFonts w:hint="eastAsia" w:ascii="宋体" w:hAnsi="宋体" w:eastAsia="宋体" w:cs="宋体"/>
          <w:b w:val="0"/>
          <w:bCs/>
        </w:rPr>
        <w:t>不应将CT二次侧开路。必要时，工作前申请停用有关继电保护或自动装置</w:t>
      </w:r>
      <w:r>
        <w:rPr>
          <w:rFonts w:hint="eastAsia" w:ascii="宋体" w:hAnsi="宋体" w:eastAsia="宋体" w:cs="宋体"/>
          <w:b w:val="0"/>
          <w:bCs/>
          <w:lang w:eastAsia="zh-CN"/>
        </w:rPr>
        <w:t>；</w:t>
      </w:r>
      <w:r>
        <w:rPr>
          <w:rFonts w:hint="eastAsia" w:ascii="宋体" w:hAnsi="宋体" w:eastAsia="宋体" w:cs="宋体"/>
          <w:b w:val="0"/>
          <w:bCs/>
        </w:rPr>
        <w:t>短路CT二次绕组，应用短路片或专用短接线短路</w:t>
      </w:r>
      <w:r>
        <w:rPr>
          <w:rFonts w:hint="eastAsia" w:ascii="宋体" w:hAnsi="宋体" w:eastAsia="宋体" w:cs="宋体"/>
          <w:b w:val="0"/>
          <w:bCs/>
          <w:lang w:eastAsia="zh-CN"/>
        </w:rPr>
        <w:t>；</w:t>
      </w:r>
      <w:r>
        <w:rPr>
          <w:rFonts w:hint="eastAsia" w:ascii="宋体" w:hAnsi="宋体" w:eastAsia="宋体" w:cs="宋体"/>
          <w:b w:val="0"/>
          <w:bCs/>
        </w:rPr>
        <w:t>工作中不应将回路的永久接地点断开</w:t>
      </w:r>
      <w:r>
        <w:rPr>
          <w:rFonts w:hint="eastAsia" w:ascii="宋体" w:hAnsi="宋体" w:eastAsia="宋体" w:cs="宋体"/>
          <w:b w:val="0"/>
          <w:bCs/>
          <w:lang w:eastAsia="zh-CN"/>
        </w:rPr>
        <w:t>；</w:t>
      </w:r>
      <w:r>
        <w:rPr>
          <w:rFonts w:hint="eastAsia" w:ascii="宋体" w:hAnsi="宋体" w:eastAsia="宋体" w:cs="宋体"/>
          <w:b w:val="0"/>
          <w:bCs/>
        </w:rPr>
        <w:t>应使用绝缘工具，并且人员应站在绝缘垫上</w:t>
      </w:r>
      <w:r>
        <w:rPr>
          <w:rFonts w:hint="eastAsia" w:ascii="宋体" w:hAnsi="宋体" w:eastAsia="宋体" w:cs="宋体"/>
          <w:b w:val="0"/>
          <w:bCs/>
          <w:lang w:eastAsia="zh-CN"/>
        </w:rPr>
        <w:t>；</w:t>
      </w:r>
      <w:r>
        <w:rPr>
          <w:rFonts w:hint="eastAsia" w:ascii="宋体" w:hAnsi="宋体" w:eastAsia="宋体" w:cs="宋体"/>
          <w:b w:val="0"/>
          <w:bCs/>
        </w:rPr>
        <w:t>不允许在运行的CT和短接线之间的二次回路上工作</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对于被检验保护装置与其它保护装置共用CT绕组的特殊情况，应采取以下措施防止其它保护装置误启动</w:t>
      </w:r>
      <w:r>
        <w:rPr>
          <w:rFonts w:hint="eastAsia" w:ascii="宋体" w:hAnsi="宋体" w:eastAsia="宋体" w:cs="宋体"/>
          <w:b w:val="0"/>
          <w:bCs/>
          <w:lang w:eastAsia="zh-CN"/>
        </w:rPr>
        <w:t>：</w:t>
      </w:r>
      <w:r>
        <w:rPr>
          <w:rFonts w:hint="eastAsia" w:ascii="宋体" w:hAnsi="宋体" w:eastAsia="宋体" w:cs="宋体"/>
          <w:b w:val="0"/>
          <w:bCs/>
        </w:rPr>
        <w:t>核实CT二次回路的使用情况和连接顺序</w:t>
      </w:r>
      <w:r>
        <w:rPr>
          <w:rFonts w:hint="eastAsia" w:ascii="宋体" w:hAnsi="宋体" w:eastAsia="宋体" w:cs="宋体"/>
          <w:b w:val="0"/>
          <w:bCs/>
          <w:lang w:eastAsia="zh-CN"/>
        </w:rPr>
        <w:t>；</w:t>
      </w:r>
      <w:r>
        <w:rPr>
          <w:rFonts w:hint="eastAsia" w:ascii="宋体" w:hAnsi="宋体" w:eastAsia="宋体" w:cs="宋体"/>
          <w:b w:val="0"/>
          <w:bCs/>
        </w:rPr>
        <w:t>若在被检验保护装置电流回路后串接有其它运行的保护装置，应停运其它运行的保护装置。如确无法停运，在短接被检验保护装置电流回路前、后，应监测运行的保护装置电流与实际相符。若在被检验保护电流回路前串接其它运行的保护装置，短接被检验保护装置电流回路后，监测到被检验保护装置电流接近于零时，方可断开被检验保护装置电流回路</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进行现场工作时，应防止交流和直流回路混线。继电保护或自动装置检验后，以及二次回路改造后，应测量交、直流回路之间的绝缘电阻，并做好记录；在合上交流（直流）电源前，应测量负荷侧是否有直流（交流）电位</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进行保护装置整组检验时，不宜用将继电器触点短接的办法进行。传动或整组试验后不应再在二次回路上进行任何工作，否则应做相应的检验</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带方向性的保护和差动保护新投入运行时，一次设备或交流二次回路改变后，应用负荷电流和工作电压检验其电流、电压回路接线的正确性</w:t>
      </w:r>
      <w:r>
        <w:rPr>
          <w:rFonts w:hint="eastAsia" w:ascii="宋体" w:hAnsi="宋体" w:eastAsia="宋体" w:cs="宋体"/>
          <w:b w:val="0"/>
          <w:bCs/>
          <w:lang w:eastAsia="zh-CN"/>
        </w:rPr>
        <w:t>。</w:t>
      </w:r>
    </w:p>
    <w:p>
      <w:pPr>
        <w:pStyle w:val="38"/>
        <w:numPr>
          <w:ilvl w:val="0"/>
          <w:numId w:val="13"/>
        </w:numPr>
        <w:rPr>
          <w:rFonts w:hint="eastAsia" w:ascii="宋体" w:hAnsi="宋体" w:eastAsia="宋体" w:cs="宋体"/>
        </w:rPr>
      </w:pPr>
      <w:r>
        <w:rPr>
          <w:rFonts w:hint="eastAsia" w:ascii="宋体" w:hAnsi="宋体" w:eastAsia="宋体" w:cs="宋体"/>
          <w:b w:val="0"/>
          <w:bCs/>
        </w:rPr>
        <w:t>对于母线保护装置的备用间隔CT二次回路应在母线保护屏（柜）端子排外侧断开，端子排内侧不应短路</w:t>
      </w:r>
      <w:r>
        <w:rPr>
          <w:rFonts w:hint="eastAsia" w:ascii="宋体" w:hAnsi="宋体" w:eastAsia="宋体" w:cs="宋体"/>
          <w:b w:val="0"/>
          <w:bCs/>
          <w:lang w:eastAsia="zh-CN"/>
        </w:rPr>
        <w:t>。</w:t>
      </w:r>
    </w:p>
    <w:p>
      <w:pPr>
        <w:pStyle w:val="37"/>
        <w:spacing w:before="120" w:after="120"/>
        <w:rPr>
          <w:rFonts w:hint="eastAsia" w:ascii="黑体" w:hAnsi="黑体" w:eastAsia="黑体" w:cs="黑体"/>
          <w:lang w:val="en-US" w:eastAsia="zh-CN"/>
        </w:rPr>
      </w:pPr>
      <w:r>
        <w:rPr>
          <w:rFonts w:hint="eastAsia" w:ascii="黑体" w:hAnsi="黑体" w:eastAsia="黑体" w:cs="黑体"/>
          <w:lang w:val="en-US" w:eastAsia="zh-CN"/>
        </w:rPr>
        <w:t>工作结束</w:t>
      </w:r>
    </w:p>
    <w:p>
      <w:pPr>
        <w:pStyle w:val="19"/>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维护检修阶段工作结束后要求如下：</w:t>
      </w:r>
    </w:p>
    <w:p>
      <w:pPr>
        <w:pStyle w:val="38"/>
        <w:numPr>
          <w:ilvl w:val="0"/>
          <w:numId w:val="14"/>
        </w:numPr>
        <w:rPr>
          <w:rFonts w:hint="eastAsia" w:ascii="宋体" w:hAnsi="宋体" w:eastAsia="宋体" w:cs="宋体"/>
        </w:rPr>
      </w:pPr>
      <w:r>
        <w:rPr>
          <w:rFonts w:hint="eastAsia" w:ascii="Times New Roman" w:hAnsi="Times New Roman" w:cs="Times New Roman"/>
          <w:b w:val="0"/>
          <w:bCs/>
        </w:rPr>
        <w:t>现场工作结束前，应检查检验记录。确认检验无遗漏项目，试验数据完整，检验结论正确后，才能拆除试验接线</w:t>
      </w:r>
      <w:r>
        <w:rPr>
          <w:rFonts w:hint="eastAsia" w:ascii="Times New Roman" w:hAnsi="Times New Roman" w:cs="Times New Roman"/>
          <w:b w:val="0"/>
          <w:bCs/>
          <w:lang w:eastAsia="zh-CN"/>
        </w:rPr>
        <w:t>。</w:t>
      </w:r>
    </w:p>
    <w:p>
      <w:pPr>
        <w:pStyle w:val="38"/>
        <w:numPr>
          <w:ilvl w:val="0"/>
          <w:numId w:val="14"/>
        </w:numPr>
        <w:rPr>
          <w:rFonts w:hint="eastAsia" w:ascii="宋体" w:hAnsi="宋体" w:eastAsia="宋体" w:cs="宋体"/>
        </w:rPr>
      </w:pPr>
      <w:r>
        <w:rPr>
          <w:rFonts w:hint="eastAsia" w:ascii="Times New Roman" w:hAnsi="Times New Roman" w:cs="Times New Roman"/>
          <w:b w:val="0"/>
          <w:bCs/>
        </w:rPr>
        <w:t>整组带断路器传动试验前，应紧固端子排螺丝（包括接地端子），确保接线接触可靠。检查端子接线压接处接线无折痕、开裂，防止回路断线</w:t>
      </w:r>
      <w:r>
        <w:rPr>
          <w:rFonts w:hint="eastAsia" w:ascii="Times New Roman" w:hAnsi="Times New Roman" w:cs="Times New Roman"/>
          <w:b w:val="0"/>
          <w:bCs/>
          <w:lang w:eastAsia="zh-CN"/>
        </w:rPr>
        <w:t>。</w:t>
      </w:r>
    </w:p>
    <w:p>
      <w:pPr>
        <w:pStyle w:val="38"/>
        <w:numPr>
          <w:ilvl w:val="0"/>
          <w:numId w:val="14"/>
        </w:numPr>
        <w:rPr>
          <w:rFonts w:hint="eastAsia" w:ascii="宋体" w:hAnsi="宋体" w:eastAsia="宋体" w:cs="宋体"/>
        </w:rPr>
      </w:pPr>
      <w:r>
        <w:rPr>
          <w:rFonts w:hint="eastAsia" w:ascii="Times New Roman" w:hAnsi="Times New Roman" w:cs="Times New Roman"/>
          <w:b w:val="0"/>
          <w:bCs/>
        </w:rPr>
        <w:t>复查临时接线全部拆除，断开的接线全部恢复，图纸与实际接线相符，标志正确</w:t>
      </w:r>
      <w:r>
        <w:rPr>
          <w:rFonts w:hint="eastAsia" w:ascii="Times New Roman" w:hAnsi="Times New Roman" w:cs="Times New Roman"/>
          <w:b w:val="0"/>
          <w:bCs/>
          <w:lang w:eastAsia="zh-CN"/>
        </w:rPr>
        <w:t>。</w:t>
      </w:r>
    </w:p>
    <w:p>
      <w:pPr>
        <w:pStyle w:val="38"/>
        <w:numPr>
          <w:ilvl w:val="0"/>
          <w:numId w:val="14"/>
        </w:numPr>
        <w:rPr>
          <w:rFonts w:hint="eastAsia" w:ascii="宋体" w:hAnsi="宋体" w:eastAsia="宋体" w:cs="宋体"/>
        </w:rPr>
      </w:pPr>
      <w:r>
        <w:rPr>
          <w:rFonts w:hint="eastAsia" w:ascii="Times New Roman" w:hAnsi="Times New Roman" w:cs="Times New Roman"/>
          <w:b w:val="0"/>
          <w:bCs/>
        </w:rPr>
        <w:t>工作结束，全部设备和回路应恢复到工作开始前状态</w:t>
      </w:r>
      <w:r>
        <w:rPr>
          <w:rFonts w:hint="eastAsia" w:ascii="Times New Roman" w:hAnsi="Times New Roman" w:cs="Times New Roman"/>
          <w:b w:val="0"/>
          <w:bCs/>
          <w:lang w:eastAsia="zh-CN"/>
        </w:rPr>
        <w:t>。</w:t>
      </w:r>
    </w:p>
    <w:p>
      <w:pPr>
        <w:pStyle w:val="38"/>
        <w:numPr>
          <w:ilvl w:val="0"/>
          <w:numId w:val="14"/>
        </w:numPr>
        <w:rPr>
          <w:rFonts w:hint="eastAsia" w:ascii="宋体" w:hAnsi="宋体" w:eastAsia="宋体" w:cs="宋体"/>
          <w:b w:val="0"/>
          <w:bCs/>
        </w:rPr>
      </w:pPr>
      <w:r>
        <w:rPr>
          <w:rFonts w:hint="eastAsia" w:ascii="Times New Roman" w:hAnsi="Times New Roman" w:cs="Times New Roman"/>
          <w:b w:val="0"/>
          <w:bCs/>
        </w:rPr>
        <w:t>工作票结束后不应再进行任何工作</w:t>
      </w:r>
      <w:r>
        <w:rPr>
          <w:rFonts w:hint="eastAsia" w:ascii="Times New Roman" w:hAnsi="Times New Roman" w:cs="Times New Roman"/>
          <w:b w:val="0"/>
          <w:bCs/>
          <w:lang w:eastAsia="zh-CN"/>
        </w:rPr>
        <w:t>。</w:t>
      </w:r>
    </w:p>
    <w:p>
      <w:pPr>
        <w:pStyle w:val="38"/>
        <w:numPr>
          <w:ilvl w:val="0"/>
          <w:numId w:val="0"/>
        </w:numPr>
        <w:jc w:val="both"/>
        <w:rPr>
          <w:rFonts w:hint="eastAsia" w:ascii="宋体" w:hAnsi="宋体" w:eastAsia="宋体" w:cs="宋体"/>
          <w:b w:val="0"/>
          <w:bCs/>
        </w:rPr>
      </w:pPr>
    </w:p>
    <w:p>
      <w:pPr>
        <w:pStyle w:val="38"/>
        <w:numPr>
          <w:ilvl w:val="0"/>
          <w:numId w:val="0"/>
        </w:numPr>
        <w:jc w:val="both"/>
        <w:rPr>
          <w:rFonts w:hint="eastAsia" w:ascii="宋体" w:hAnsi="宋体" w:eastAsia="宋体" w:cs="宋体"/>
          <w:b w:val="0"/>
          <w:bCs/>
        </w:rPr>
      </w:pPr>
    </w:p>
    <w:p>
      <w:pPr>
        <w:pStyle w:val="19"/>
        <w:jc w:val="center"/>
      </w:pPr>
      <w:bookmarkStart w:id="77" w:name="BookMark8"/>
      <w:r>
        <w:rPr>
          <w:rFonts w:hint="eastAsia"/>
        </w:rPr>
        <w:drawing>
          <wp:inline distT="0" distB="0" distL="0" distR="0">
            <wp:extent cx="1485900" cy="31750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headerReference r:id="rId16" w:type="default"/>
      <w:footerReference r:id="rId17" w:type="default"/>
      <w:pgSz w:w="11906" w:h="16838"/>
      <w:pgMar w:top="567" w:right="1134" w:bottom="1134" w:left="1134" w:header="1418" w:footer="1134" w:gutter="283"/>
      <w:pgNumType w:fmt="decimal"/>
      <w:cols w:space="0" w:num="1"/>
      <w:formProt w:val="0"/>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left"/>
    </w:pPr>
    <w:r>
      <w:rPr>
        <w:sz w:val="18"/>
      </w:rP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ObJgco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11</w:t>
                    </w:r>
                    <w:r>
                      <w:rPr>
                        <w:rFonts w:hint="eastAsia"/>
                        <w:lang w:eastAsia="zh-CN"/>
                      </w:rPr>
                      <w:fldChar w:fldCharType="end"/>
                    </w:r>
                  </w:p>
                </w:txbxContent>
              </v:textbox>
            </v:shape>
          </w:pict>
        </mc:Fallback>
      </mc:AlternateContent>
    </w: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5"/>
                            <w:jc w:val="left"/>
                          </w:pPr>
                        </w:p>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15"/>
                      <w:jc w:val="left"/>
                    </w:pPr>
                  </w:p>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spacing w:after="283"/>
    </w:pPr>
    <w:r>
      <w:fldChar w:fldCharType="begin"/>
    </w:r>
    <w:r>
      <w:instrText xml:space="preserve"> STYLEREF  标准文件_文件编号  \* MERGEFORMAT </w:instrText>
    </w:r>
    <w:r>
      <w:fldChar w:fldCharType="separate"/>
    </w:r>
    <w:r>
      <w:t>T/CPIA XXXX—202X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pPr>
    <w:r>
      <w:fldChar w:fldCharType="begin"/>
    </w:r>
    <w:r>
      <w:instrText xml:space="preserve"> STYLEREF  标准文件_文件编号 \* MERGEFORMAT </w:instrText>
    </w:r>
    <w:r>
      <w:fldChar w:fldCharType="separate"/>
    </w:r>
    <w:r>
      <w:t>T/CPIA XXXX—202X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pPr>
    <w:r>
      <w:fldChar w:fldCharType="begin"/>
    </w:r>
    <w:r>
      <w:instrText xml:space="preserve"> STYLEREF  标准文件_文件编号  \* MERGEFORMAT </w:instrText>
    </w:r>
    <w:r>
      <w:fldChar w:fldCharType="separate"/>
    </w:r>
    <w:r>
      <w:t>T/CPIA XXXX—202X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0"/>
    </w:pPr>
    <w:r>
      <w:fldChar w:fldCharType="begin"/>
    </w:r>
    <w:r>
      <w:instrText xml:space="preserve"> STYLEREF  标准文件_文件编号 \* MERGEFORMAT </w:instrText>
    </w:r>
    <w:r>
      <w:fldChar w:fldCharType="separate"/>
    </w:r>
    <w:r>
      <w:t>T/CPIA XXXX—202X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spacing w:after="283"/>
    </w:pPr>
    <w:r>
      <w:fldChar w:fldCharType="begin"/>
    </w:r>
    <w:r>
      <w:instrText xml:space="preserve"> STYLEREF  标准文件_文件编号  \* MERGEFORMAT </w:instrText>
    </w:r>
    <w:r>
      <w:fldChar w:fldCharType="separate"/>
    </w:r>
    <w:r>
      <w:t>T/CPIA XXXX—202X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05DC48"/>
    <w:multiLevelType w:val="multilevel"/>
    <w:tmpl w:val="CE05DC48"/>
    <w:lvl w:ilvl="0" w:tentative="0">
      <w:start w:val="1"/>
      <w:numFmt w:val="lowerLetter"/>
      <w:pStyle w:val="38"/>
      <w:lvlText w:val="%1)"/>
      <w:lvlJc w:val="left"/>
      <w:pPr>
        <w:tabs>
          <w:tab w:val="left" w:pos="851"/>
        </w:tabs>
        <w:ind w:left="851" w:hanging="426"/>
      </w:pPr>
      <w:rPr>
        <w:rFonts w:hint="eastAsia" w:ascii="宋体" w:hAnsi="Times New Roman" w:eastAsia="宋体"/>
        <w:sz w:val="21"/>
      </w:rPr>
    </w:lvl>
    <w:lvl w:ilvl="1" w:tentative="0">
      <w:start w:val="1"/>
      <w:numFmt w:val="decimal"/>
      <w:pStyle w:val="53"/>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7ED3FEA"/>
    <w:multiLevelType w:val="multilevel"/>
    <w:tmpl w:val="07ED3FEA"/>
    <w:lvl w:ilvl="0" w:tentative="0">
      <w:start w:val="1"/>
      <w:numFmt w:val="none"/>
      <w:pStyle w:val="31"/>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
    <w:nsid w:val="48802D1C"/>
    <w:multiLevelType w:val="multilevel"/>
    <w:tmpl w:val="48802D1C"/>
    <w:lvl w:ilvl="0" w:tentative="0">
      <w:start w:val="1"/>
      <w:numFmt w:val="upperLetter"/>
      <w:pStyle w:val="39"/>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5603797C"/>
    <w:multiLevelType w:val="multilevel"/>
    <w:tmpl w:val="5603797C"/>
    <w:lvl w:ilvl="0" w:tentative="0">
      <w:start w:val="1"/>
      <w:numFmt w:val="upperLetter"/>
      <w:pStyle w:val="40"/>
      <w:suff w:val="space"/>
      <w:lvlText w:val="%1"/>
      <w:lvlJc w:val="left"/>
      <w:pPr>
        <w:ind w:left="425" w:hanging="425"/>
      </w:pPr>
      <w:rPr>
        <w:rFonts w:hint="eastAsia"/>
      </w:rPr>
    </w:lvl>
    <w:lvl w:ilvl="1" w:tentative="0">
      <w:start w:val="1"/>
      <w:numFmt w:val="decimal"/>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657D3FBC"/>
    <w:multiLevelType w:val="multilevel"/>
    <w:tmpl w:val="657D3FBC"/>
    <w:lvl w:ilvl="0" w:tentative="0">
      <w:start w:val="1"/>
      <w:numFmt w:val="upperLetter"/>
      <w:pStyle w:val="41"/>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43"/>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44"/>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5">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3"/>
      <w:suff w:val="nothing"/>
      <w:lvlText w:val="%1%2　"/>
      <w:lvlJc w:val="left"/>
      <w:pPr>
        <w:ind w:left="0" w:firstLine="0"/>
      </w:pPr>
      <w:rPr>
        <w:rFonts w:hint="eastAsia" w:ascii="黑体" w:eastAsia="黑体"/>
        <w:b w:val="0"/>
        <w:i w:val="0"/>
        <w:sz w:val="21"/>
      </w:rPr>
    </w:lvl>
    <w:lvl w:ilvl="2" w:tentative="0">
      <w:start w:val="1"/>
      <w:numFmt w:val="decimal"/>
      <w:pStyle w:val="36"/>
      <w:suff w:val="nothing"/>
      <w:lvlText w:val="%1%2.%3　"/>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37"/>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5"/>
  </w:num>
  <w:num w:numId="4">
    <w:abstractNumId w:val="0"/>
  </w:num>
  <w:num w:numId="5">
    <w:abstractNumId w:val="2"/>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44898"/>
    <w:rsid w:val="01B630E8"/>
    <w:rsid w:val="05664808"/>
    <w:rsid w:val="0BFA2A14"/>
    <w:rsid w:val="1280512A"/>
    <w:rsid w:val="190870F3"/>
    <w:rsid w:val="2C6F0037"/>
    <w:rsid w:val="2D3D0A18"/>
    <w:rsid w:val="2E404AEF"/>
    <w:rsid w:val="2F267D2E"/>
    <w:rsid w:val="3979682C"/>
    <w:rsid w:val="4E9B6B41"/>
    <w:rsid w:val="56502676"/>
    <w:rsid w:val="5C144898"/>
    <w:rsid w:val="5DAF07FC"/>
    <w:rsid w:val="63E42687"/>
    <w:rsid w:val="79C67CDE"/>
    <w:rsid w:val="7FEF1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99"/>
    <w:pPr>
      <w:tabs>
        <w:tab w:val="center" w:pos="4153"/>
        <w:tab w:val="right" w:pos="8306"/>
      </w:tabs>
      <w:adjustRightInd/>
      <w:snapToGrid w:val="0"/>
      <w:spacing w:line="240" w:lineRule="auto"/>
      <w:jc w:val="right"/>
    </w:pPr>
    <w:rPr>
      <w:rFonts w:ascii="宋体"/>
      <w:sz w:val="18"/>
      <w:szCs w:val="18"/>
    </w:rPr>
  </w:style>
  <w:style w:type="paragraph" w:styleId="4">
    <w:name w:val="header"/>
    <w:basedOn w:val="1"/>
    <w:qFormat/>
    <w:uiPriority w:val="99"/>
    <w:pPr>
      <w:tabs>
        <w:tab w:val="center" w:pos="4153"/>
        <w:tab w:val="right" w:pos="8306"/>
      </w:tabs>
      <w:adjustRightInd/>
      <w:snapToGrid w:val="0"/>
      <w:jc w:val="center"/>
    </w:pPr>
    <w:rPr>
      <w:sz w:val="18"/>
      <w:szCs w:val="18"/>
    </w:rPr>
  </w:style>
  <w:style w:type="paragraph" w:styleId="5">
    <w:name w:val="toc 1"/>
    <w:basedOn w:val="1"/>
    <w:next w:val="1"/>
    <w:unhideWhenUsed/>
    <w:qFormat/>
    <w:uiPriority w:val="39"/>
    <w:rPr>
      <w:rFonts w:ascii="宋体"/>
    </w:rPr>
  </w:style>
  <w:style w:type="paragraph" w:styleId="6">
    <w:name w:val="toc 2"/>
    <w:basedOn w:val="1"/>
    <w:next w:val="1"/>
    <w:unhideWhenUsed/>
    <w:qFormat/>
    <w:uiPriority w:val="39"/>
    <w:pPr>
      <w:tabs>
        <w:tab w:val="right" w:leader="dot" w:pos="9344"/>
      </w:tabs>
      <w:spacing w:line="300" w:lineRule="exact"/>
      <w:ind w:left="210"/>
    </w:pPr>
    <w:rPr>
      <w:rFonts w:ascii="宋体"/>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2">
    <w:name w:val="附录标识"/>
    <w:basedOn w:val="1"/>
    <w:next w:val="11"/>
    <w:qFormat/>
    <w:uiPriority w:val="0"/>
    <w:pPr>
      <w:keepNext/>
      <w:widowControl/>
      <w:numPr>
        <w:ilvl w:val="0"/>
        <w:numId w:val="1"/>
      </w:numPr>
      <w:shd w:val="clear" w:color="FFFFFF" w:fill="FFFFFF"/>
      <w:tabs>
        <w:tab w:val="left" w:pos="6405"/>
      </w:tabs>
      <w:spacing w:before="640" w:after="280"/>
      <w:jc w:val="center"/>
      <w:outlineLvl w:val="0"/>
    </w:pPr>
    <w:rPr>
      <w:rFonts w:ascii="黑体" w:eastAsia="黑体"/>
      <w:kern w:val="0"/>
      <w:szCs w:val="20"/>
    </w:rPr>
  </w:style>
  <w:style w:type="paragraph" w:customStyle="1" w:styleId="13">
    <w:name w:val="终结线"/>
    <w:basedOn w:val="1"/>
    <w:qFormat/>
    <w:uiPriority w:val="0"/>
    <w:pPr>
      <w:framePr w:hSpace="181" w:vSpace="181" w:wrap="around" w:vAnchor="text" w:hAnchor="margin" w:xAlign="center" w:y="285"/>
    </w:pPr>
  </w:style>
  <w:style w:type="paragraph" w:customStyle="1" w:styleId="1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5">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6">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7">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8">
    <w:name w:val="标准文件_文件编号"/>
    <w:basedOn w:val="1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
    <w:name w:val="标准文件_替换文件编号"/>
    <w:basedOn w:val="18"/>
    <w:qFormat/>
    <w:uiPriority w:val="0"/>
    <w:pPr>
      <w:framePr w:wrap="around"/>
      <w:spacing w:before="57"/>
    </w:pPr>
    <w:rPr>
      <w:sz w:val="21"/>
    </w:rPr>
  </w:style>
  <w:style w:type="paragraph" w:customStyle="1" w:styleId="21">
    <w:name w:val="标准文件_文件名称"/>
    <w:basedOn w:val="19"/>
    <w:next w:val="1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2">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23">
    <w:name w:val="其他发布日期"/>
    <w:basedOn w:val="24"/>
    <w:qFormat/>
    <w:uiPriority w:val="0"/>
    <w:pPr>
      <w:framePr w:w="3997" w:h="471" w:hRule="exact" w:hSpace="0" w:vSpace="181" w:wrap="around" w:vAnchor="page" w:hAnchor="page" w:x="1419" w:y="14097"/>
    </w:pPr>
  </w:style>
  <w:style w:type="paragraph" w:customStyle="1" w:styleId="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5">
    <w:name w:val="其他实施日期"/>
    <w:basedOn w:val="26"/>
    <w:qFormat/>
    <w:uiPriority w:val="0"/>
    <w:pPr>
      <w:framePr w:w="3997" w:h="471" w:hRule="exact" w:vSpace="181" w:wrap="around" w:vAnchor="page" w:hAnchor="page" w:x="7089" w:y="14097"/>
    </w:pPr>
  </w:style>
  <w:style w:type="paragraph" w:customStyle="1" w:styleId="26">
    <w:name w:val="实施日期"/>
    <w:basedOn w:val="24"/>
    <w:qFormat/>
    <w:uiPriority w:val="0"/>
    <w:pPr>
      <w:framePr w:hSpace="0" w:wrap="around" w:xAlign="right"/>
      <w:jc w:val="right"/>
    </w:pPr>
  </w:style>
  <w:style w:type="paragraph" w:customStyle="1" w:styleId="27">
    <w:name w:val="其他发布部门"/>
    <w:basedOn w:val="28"/>
    <w:qFormat/>
    <w:uiPriority w:val="0"/>
    <w:pPr>
      <w:framePr w:wrap="around"/>
      <w:spacing w:line="0" w:lineRule="atLeast"/>
    </w:pPr>
    <w:rPr>
      <w:rFonts w:ascii="黑体" w:eastAsia="黑体"/>
      <w:b w:val="0"/>
    </w:rPr>
  </w:style>
  <w:style w:type="paragraph" w:customStyle="1" w:styleId="28">
    <w:name w:val="发布部门"/>
    <w:next w:val="1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29">
    <w:name w:val="发布"/>
    <w:basedOn w:val="10"/>
    <w:qFormat/>
    <w:uiPriority w:val="0"/>
    <w:rPr>
      <w:rFonts w:ascii="黑体" w:eastAsia="黑体"/>
      <w:spacing w:val="85"/>
      <w:w w:val="100"/>
      <w:position w:val="3"/>
      <w:sz w:val="28"/>
      <w:szCs w:val="28"/>
    </w:rPr>
  </w:style>
  <w:style w:type="paragraph" w:customStyle="1" w:styleId="30">
    <w:name w:val="标准文件_目录标题"/>
    <w:basedOn w:val="1"/>
    <w:qFormat/>
    <w:uiPriority w:val="0"/>
    <w:pPr>
      <w:spacing w:after="150" w:afterLines="150" w:line="240" w:lineRule="auto"/>
      <w:jc w:val="center"/>
    </w:pPr>
    <w:rPr>
      <w:rFonts w:ascii="黑体" w:eastAsia="黑体"/>
      <w:sz w:val="32"/>
    </w:rPr>
  </w:style>
  <w:style w:type="paragraph" w:customStyle="1" w:styleId="31">
    <w:name w:val="标准文件_前言、引言标题"/>
    <w:next w:val="1"/>
    <w:qFormat/>
    <w:uiPriority w:val="0"/>
    <w:pPr>
      <w:numPr>
        <w:ilvl w:val="0"/>
        <w:numId w:val="2"/>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32">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33">
    <w:name w:val="标准文件_章标题"/>
    <w:next w:val="19"/>
    <w:qFormat/>
    <w:uiPriority w:val="0"/>
    <w:pPr>
      <w:numPr>
        <w:ilvl w:val="1"/>
        <w:numId w:val="3"/>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4">
    <w:name w:val="标准文件_术语条一"/>
    <w:basedOn w:val="35"/>
    <w:next w:val="19"/>
    <w:qFormat/>
    <w:uiPriority w:val="0"/>
  </w:style>
  <w:style w:type="paragraph" w:customStyle="1" w:styleId="35">
    <w:name w:val="标准文件_一级无标题"/>
    <w:basedOn w:val="36"/>
    <w:qFormat/>
    <w:uiPriority w:val="0"/>
    <w:pPr>
      <w:spacing w:before="0" w:beforeLines="0" w:after="0" w:afterLines="0"/>
      <w:outlineLvl w:val="9"/>
    </w:pPr>
    <w:rPr>
      <w:rFonts w:ascii="宋体" w:eastAsia="宋体"/>
    </w:rPr>
  </w:style>
  <w:style w:type="paragraph" w:customStyle="1" w:styleId="36">
    <w:name w:val="标准文件_一级条标题"/>
    <w:basedOn w:val="33"/>
    <w:next w:val="19"/>
    <w:qFormat/>
    <w:uiPriority w:val="0"/>
    <w:pPr>
      <w:numPr>
        <w:ilvl w:val="2"/>
      </w:numPr>
      <w:spacing w:before="50" w:beforeLines="50" w:after="50" w:afterLines="50"/>
      <w:outlineLvl w:val="1"/>
    </w:pPr>
  </w:style>
  <w:style w:type="paragraph" w:customStyle="1" w:styleId="37">
    <w:name w:val="标准文件_二级条标题"/>
    <w:next w:val="19"/>
    <w:qFormat/>
    <w:uiPriority w:val="0"/>
    <w:pPr>
      <w:widowControl w:val="0"/>
      <w:numPr>
        <w:ilvl w:val="3"/>
        <w:numId w:val="3"/>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38">
    <w:name w:val="标准文件_字母编号列项（一级）"/>
    <w:qFormat/>
    <w:uiPriority w:val="0"/>
    <w:pPr>
      <w:numPr>
        <w:ilvl w:val="0"/>
        <w:numId w:val="4"/>
      </w:numPr>
      <w:jc w:val="both"/>
    </w:pPr>
    <w:rPr>
      <w:rFonts w:ascii="宋体" w:hAnsi="Times New Roman" w:eastAsia="宋体" w:cs="Times New Roman"/>
      <w:sz w:val="21"/>
      <w:lang w:val="en-US" w:eastAsia="zh-CN" w:bidi="ar-SA"/>
    </w:rPr>
  </w:style>
  <w:style w:type="paragraph" w:customStyle="1" w:styleId="39">
    <w:name w:val="标准文件_附录图标号"/>
    <w:basedOn w:val="19"/>
    <w:next w:val="19"/>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40">
    <w:name w:val="标准文件_附录表标号"/>
    <w:basedOn w:val="19"/>
    <w:next w:val="19"/>
    <w:qFormat/>
    <w:uiPriority w:val="0"/>
    <w:pPr>
      <w:numPr>
        <w:ilvl w:val="0"/>
        <w:numId w:val="6"/>
      </w:numPr>
      <w:spacing w:line="14" w:lineRule="exact"/>
      <w:ind w:firstLine="0" w:firstLineChars="0"/>
      <w:jc w:val="center"/>
    </w:pPr>
    <w:rPr>
      <w:rFonts w:eastAsia="黑体"/>
      <w:vanish/>
      <w:sz w:val="2"/>
    </w:rPr>
  </w:style>
  <w:style w:type="paragraph" w:customStyle="1" w:styleId="41">
    <w:name w:val="标准文件_附录标识"/>
    <w:next w:val="19"/>
    <w:qFormat/>
    <w:uiPriority w:val="0"/>
    <w:pPr>
      <w:numPr>
        <w:ilvl w:val="0"/>
        <w:numId w:val="1"/>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42">
    <w:name w:val="标准文件_附录一级无标题"/>
    <w:basedOn w:val="43"/>
    <w:qFormat/>
    <w:uiPriority w:val="0"/>
    <w:pPr>
      <w:spacing w:before="0" w:beforeLines="0" w:after="0" w:afterLines="0" w:line="276" w:lineRule="auto"/>
      <w:outlineLvl w:val="9"/>
    </w:pPr>
    <w:rPr>
      <w:rFonts w:ascii="宋体" w:eastAsia="宋体"/>
    </w:rPr>
  </w:style>
  <w:style w:type="paragraph" w:customStyle="1" w:styleId="43">
    <w:name w:val="标准文件_附录一级条标题"/>
    <w:next w:val="19"/>
    <w:qFormat/>
    <w:uiPriority w:val="0"/>
    <w:pPr>
      <w:widowControl w:val="0"/>
      <w:numPr>
        <w:ilvl w:val="1"/>
        <w:numId w:val="1"/>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44">
    <w:name w:val="标准文件_附录二级条标题"/>
    <w:basedOn w:val="43"/>
    <w:next w:val="19"/>
    <w:qFormat/>
    <w:uiPriority w:val="0"/>
    <w:pPr>
      <w:widowControl/>
      <w:numPr>
        <w:ilvl w:val="2"/>
      </w:numPr>
      <w:wordWrap w:val="0"/>
      <w:overflowPunct w:val="0"/>
      <w:autoSpaceDE w:val="0"/>
      <w:autoSpaceDN w:val="0"/>
      <w:textAlignment w:val="baseline"/>
      <w:outlineLvl w:val="3"/>
    </w:pPr>
  </w:style>
  <w:style w:type="paragraph" w:customStyle="1" w:styleId="45">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46">
    <w:name w:val="标准文件_索引标题"/>
    <w:basedOn w:val="45"/>
    <w:next w:val="19"/>
    <w:qFormat/>
    <w:uiPriority w:val="0"/>
    <w:rPr>
      <w:rFonts w:hAnsi="黑体"/>
    </w:rPr>
  </w:style>
  <w:style w:type="paragraph" w:customStyle="1" w:styleId="47">
    <w:name w:val="标准文件_索引字母"/>
    <w:next w:val="19"/>
    <w:qFormat/>
    <w:uiPriority w:val="0"/>
    <w:pPr>
      <w:jc w:val="center"/>
    </w:pPr>
    <w:rPr>
      <w:rFonts w:ascii="宋体" w:hAnsi="宋体" w:eastAsia="Times New Roman" w:cs="Times New Roman"/>
      <w:b/>
      <w:kern w:val="2"/>
      <w:sz w:val="21"/>
      <w:lang w:val="en-US" w:eastAsia="zh-CN" w:bidi="ar-SA"/>
    </w:rPr>
  </w:style>
  <w:style w:type="paragraph" w:customStyle="1" w:styleId="48">
    <w:name w:val="标准文件_索引项"/>
    <w:basedOn w:val="19"/>
    <w:next w:val="19"/>
    <w:qFormat/>
    <w:uiPriority w:val="0"/>
    <w:pPr>
      <w:tabs>
        <w:tab w:val="right" w:leader="dot" w:pos="9356"/>
      </w:tabs>
      <w:ind w:left="210" w:hanging="210" w:firstLineChars="0"/>
      <w:jc w:val="left"/>
    </w:pPr>
  </w:style>
  <w:style w:type="paragraph" w:customStyle="1" w:styleId="49">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50">
    <w:name w:val="标准文件_页眉偶数页"/>
    <w:basedOn w:val="49"/>
    <w:next w:val="1"/>
    <w:qFormat/>
    <w:uiPriority w:val="0"/>
    <w:pPr>
      <w:jc w:val="left"/>
    </w:pPr>
  </w:style>
  <w:style w:type="paragraph" w:customStyle="1" w:styleId="51">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数字编号列项（二级）"/>
    <w:qFormat/>
    <w:uiPriority w:val="0"/>
    <w:pPr>
      <w:numPr>
        <w:ilvl w:val="1"/>
        <w:numId w:val="4"/>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footer" Target="footer7.xml"/><Relationship Id="rId16" Type="http://schemas.openxmlformats.org/officeDocument/2006/relationships/header" Target="header8.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db1eef2-71cd-4ea7-87e1-35524c11d558}"/>
        <w:style w:val=""/>
        <w:category>
          <w:name w:val="常规"/>
          <w:gallery w:val="placeholder"/>
        </w:category>
        <w:types>
          <w:type w:val="bbPlcHdr"/>
        </w:types>
        <w:behaviors>
          <w:behavior w:val="content"/>
        </w:behaviors>
        <w:description w:val=""/>
        <w:guid w:val="{4db1eef2-71cd-4ea7-87e1-35524c11d558}"/>
      </w:docPartPr>
      <w:docPartBody>
        <w:p>
          <w:pPr>
            <w:pStyle w:val="2"/>
          </w:pPr>
          <w:r>
            <w:rPr>
              <w:rStyle w:val="3"/>
              <w:rFonts w:hint="eastAsia"/>
            </w:rPr>
            <w:t>单击或点击此处输入文字。</w:t>
          </w:r>
        </w:p>
      </w:docPartBody>
    </w:docPart>
    <w:docPart>
      <w:docPartPr>
        <w:name w:val="{85b483d3-3869-4a17-9919-c3c2bf5b552b}"/>
        <w:style w:val=""/>
        <w:category>
          <w:name w:val="常规"/>
          <w:gallery w:val="placeholder"/>
        </w:category>
        <w:types>
          <w:type w:val="bbPlcHdr"/>
        </w:types>
        <w:behaviors>
          <w:behavior w:val="content"/>
        </w:behaviors>
        <w:description w:val=""/>
        <w:guid w:val="{85b483d3-3869-4a17-9919-c3c2bf5b552b}"/>
      </w:docPartPr>
      <w:docPartBody>
        <w:p>
          <w:pPr>
            <w:pStyle w:val="4"/>
          </w:pPr>
          <w:r>
            <w:rPr>
              <w:rStyle w:val="3"/>
              <w:rFonts w:hint="eastAsia"/>
            </w:rPr>
            <w:t>选择一项。</w:t>
          </w:r>
        </w:p>
      </w:docPartBody>
    </w:docPart>
    <w:docPart>
      <w:docPartPr>
        <w:name w:val="{20d2f1c8-e2ed-4978-8d77-638ac4eaa646}"/>
        <w:style w:val=""/>
        <w:category>
          <w:name w:val="常规"/>
          <w:gallery w:val="placeholder"/>
        </w:category>
        <w:types>
          <w:type w:val="bbPlcHdr"/>
        </w:types>
        <w:behaviors>
          <w:behavior w:val="content"/>
        </w:behaviors>
        <w:description w:val=""/>
        <w:guid w:val="{20d2f1c8-e2ed-4978-8d77-638ac4eaa646}"/>
      </w:docPartPr>
      <w:docPartBody>
        <w:p>
          <w:pPr>
            <w:pStyle w:val="5"/>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semiHidden/>
    <w:unhideWhenUsed/>
    <w:qFormat/>
    <w:uiPriority w:val="1"/>
  </w:style>
  <w:style w:type="paragraph" w:customStyle="1" w:styleId="2">
    <w:name w:val="37BCCEF4DA094EE1A3EA89D73B495B65"/>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3">
    <w:name w:val="Placeholder Text"/>
    <w:basedOn w:val="1"/>
    <w:semiHidden/>
    <w:qFormat/>
    <w:uiPriority w:val="99"/>
    <w:rPr>
      <w:color w:val="808080"/>
    </w:rPr>
  </w:style>
  <w:style w:type="paragraph" w:customStyle="1" w:styleId="4">
    <w:name w:val="8467A95ED8AA41BC97CDEF710B4C034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F7B519F888524541906C6B20F3C883B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2022-03-30T01:38:00Z</dcterms:created>
  <dc:creator>孟渤林01</dc:creator>
  <cp:lastModifiedBy>cesirohs</cp:lastModifiedBy>
  <dcterms:modified xsi:type="dcterms:W3CDTF">2023-05-30T10:04:39Z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8533FC2FBF5E40DA86A526810BAFB469</vt:lpwstr>
  </property>
</Properties>
</file>