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2"/>
          <w:szCs w:val="32"/>
        </w:rPr>
      </w:pPr>
      <w:r>
        <w:rPr>
          <w:rFonts w:hint="eastAsia" w:ascii="黑体" w:hAnsi="宋体" w:eastAsia="黑体"/>
          <w:sz w:val="32"/>
          <w:szCs w:val="32"/>
        </w:rPr>
        <w:t>推荐性电子行业标准项目</w:t>
      </w:r>
      <w:r>
        <w:rPr>
          <w:rFonts w:hint="eastAsia" w:ascii="黑体" w:hAnsi="宋体" w:eastAsia="黑体"/>
          <w:sz w:val="32"/>
          <w:szCs w:val="32"/>
          <w:lang w:eastAsia="zh-CN"/>
        </w:rPr>
        <w:t>《产品碳足迹 产品种类规则 光伏组件》</w:t>
      </w:r>
      <w:r>
        <w:rPr>
          <w:rFonts w:hint="eastAsia" w:ascii="黑体" w:hAnsi="宋体" w:eastAsia="黑体"/>
          <w:sz w:val="32"/>
          <w:szCs w:val="32"/>
        </w:rPr>
        <w:t>（</w:t>
      </w:r>
      <w:r>
        <w:rPr>
          <w:rFonts w:hint="eastAsia" w:ascii="黑体" w:hAnsi="宋体" w:eastAsia="黑体"/>
          <w:sz w:val="32"/>
          <w:szCs w:val="32"/>
          <w:lang w:val="en-US" w:eastAsia="zh-CN"/>
        </w:rPr>
        <w:t>征求意见稿</w:t>
      </w:r>
      <w:r>
        <w:rPr>
          <w:rFonts w:hint="eastAsia" w:ascii="黑体" w:hAnsi="宋体" w:eastAsia="黑体"/>
          <w:sz w:val="32"/>
          <w:szCs w:val="32"/>
        </w:rPr>
        <w:t>）编制说明</w:t>
      </w:r>
    </w:p>
    <w:p>
      <w:pPr>
        <w:rPr>
          <w:rFonts w:hint="eastAsia" w:ascii="宋体" w:hAnsi="宋体"/>
          <w:sz w:val="28"/>
          <w:szCs w:val="28"/>
        </w:rPr>
      </w:pP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b/>
          <w:bCs/>
          <w:sz w:val="24"/>
        </w:rPr>
      </w:pPr>
      <w:r>
        <w:rPr>
          <w:rFonts w:hint="eastAsia" w:ascii="宋体" w:hAnsi="宋体"/>
          <w:b/>
          <w:bCs/>
          <w:sz w:val="24"/>
        </w:rPr>
        <w:t>一、工作简况</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rPr>
          <w:rFonts w:hint="eastAsia"/>
          <w:b/>
          <w:sz w:val="24"/>
          <w:szCs w:val="24"/>
        </w:rPr>
      </w:pPr>
      <w:r>
        <w:rPr>
          <w:rFonts w:hint="eastAsia"/>
          <w:b/>
          <w:sz w:val="24"/>
          <w:szCs w:val="24"/>
        </w:rPr>
        <w:t>1、任务来源</w:t>
      </w:r>
    </w:p>
    <w:p>
      <w:pPr>
        <w:pStyle w:val="3"/>
        <w:spacing w:before="0" w:beforeAutospacing="0" w:after="0" w:afterAutospacing="0" w:line="360" w:lineRule="auto"/>
        <w:ind w:firstLine="484" w:firstLineChars="202"/>
        <w:textAlignment w:val="baseline"/>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为发挥标准在推进工业领域碳达峰碳中和工作的引领和规范作用，工业和信息化部于2021年12月2日发布《工业和信息化部办公厅关于印发2021年碳达峰碳中和专项行业标准制修订项目计划的通知》</w:t>
      </w:r>
      <w:r>
        <w:rPr>
          <w:rFonts w:hint="eastAsia" w:ascii="Times New Roman" w:hAnsi="Calibri" w:cs="Times New Roman"/>
          <w:kern w:val="2"/>
          <w:sz w:val="24"/>
          <w:szCs w:val="24"/>
          <w:lang w:val="en-US" w:eastAsia="zh-CN" w:bidi="ar-SA"/>
        </w:rPr>
        <w:t>（工信厅科函〔2021〕291号）</w:t>
      </w:r>
      <w:r>
        <w:rPr>
          <w:rFonts w:hint="eastAsia" w:ascii="Times New Roman" w:hAnsi="Calibri" w:eastAsia="宋体" w:cs="Times New Roman"/>
          <w:kern w:val="2"/>
          <w:sz w:val="24"/>
          <w:szCs w:val="24"/>
          <w:lang w:val="en-US" w:eastAsia="zh-CN" w:bidi="ar-SA"/>
        </w:rPr>
        <w:t>，《产品碳足迹 产品种类规则 光伏组件》</w:t>
      </w:r>
      <w:r>
        <w:rPr>
          <w:rFonts w:hint="eastAsia" w:ascii="Times New Roman" w:hAnsi="Calibri" w:cs="Times New Roman"/>
          <w:kern w:val="2"/>
          <w:sz w:val="24"/>
          <w:szCs w:val="24"/>
          <w:lang w:val="en-US" w:eastAsia="zh-CN" w:bidi="ar-SA"/>
        </w:rPr>
        <w:t>由中国电子技术标准化研究院归口管理与起草</w:t>
      </w:r>
      <w:r>
        <w:rPr>
          <w:rFonts w:hint="eastAsia" w:ascii="Times New Roman" w:hAnsi="Calibri" w:eastAsia="宋体" w:cs="Times New Roman"/>
          <w:kern w:val="2"/>
          <w:sz w:val="24"/>
          <w:szCs w:val="24"/>
          <w:lang w:val="en-US" w:eastAsia="zh-CN" w:bidi="ar-SA"/>
        </w:rPr>
        <w:t>，项目编号：2021-1808T-SJ。</w:t>
      </w:r>
    </w:p>
    <w:p>
      <w:pPr>
        <w:pStyle w:val="3"/>
        <w:spacing w:before="0" w:beforeAutospacing="0" w:after="0" w:afterAutospacing="0" w:line="360" w:lineRule="auto"/>
        <w:ind w:firstLine="484" w:firstLineChars="202"/>
        <w:textAlignment w:val="baseline"/>
        <w:rPr>
          <w:rFonts w:hint="eastAsia" w:ascii="Times New Roman" w:hAnsi="Calibri" w:eastAsia="宋体" w:cs="Times New Roman"/>
          <w:kern w:val="2"/>
          <w:sz w:val="24"/>
          <w:szCs w:val="24"/>
          <w:lang w:val="en-US" w:eastAsia="zh-CN" w:bidi="ar-SA"/>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rPr>
          <w:b/>
          <w:sz w:val="24"/>
          <w:szCs w:val="24"/>
        </w:rPr>
      </w:pPr>
      <w:r>
        <w:rPr>
          <w:rFonts w:hint="eastAsia"/>
          <w:b/>
          <w:sz w:val="24"/>
          <w:szCs w:val="24"/>
          <w:lang w:val="en-US" w:eastAsia="zh-CN"/>
        </w:rPr>
        <w:t>2</w:t>
      </w:r>
      <w:r>
        <w:rPr>
          <w:rFonts w:hint="eastAsia"/>
          <w:b/>
          <w:sz w:val="24"/>
          <w:szCs w:val="24"/>
        </w:rPr>
        <w:t>、编制过程</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rPr>
          <w:rFonts w:hint="eastAsia" w:ascii="Times New Roman"/>
          <w:sz w:val="24"/>
          <w:lang w:eastAsia="zh-CN"/>
        </w:rPr>
      </w:pPr>
      <w:r>
        <w:rPr>
          <w:rFonts w:hint="eastAsia" w:ascii="Times New Roman" w:hAnsi="Calibri" w:eastAsia="宋体" w:cs="Times New Roman"/>
          <w:kern w:val="2"/>
          <w:sz w:val="24"/>
          <w:szCs w:val="24"/>
          <w:lang w:val="en-US" w:eastAsia="zh-CN" w:bidi="ar-SA"/>
        </w:rPr>
        <w:t>2021年12月2日</w:t>
      </w:r>
      <w:bookmarkStart w:id="0" w:name="_GoBack"/>
      <w:bookmarkEnd w:id="0"/>
      <w:r>
        <w:rPr>
          <w:rFonts w:hint="eastAsia" w:ascii="Times New Roman" w:hAnsi="Calibri" w:cs="Times New Roman"/>
          <w:kern w:val="2"/>
          <w:sz w:val="24"/>
          <w:szCs w:val="24"/>
          <w:lang w:val="en-US" w:eastAsia="zh-CN" w:bidi="ar-SA"/>
        </w:rPr>
        <w:t>，</w:t>
      </w:r>
      <w:r>
        <w:rPr>
          <w:rFonts w:hint="eastAsia" w:ascii="Times New Roman" w:hAnsi="Calibri" w:eastAsia="宋体" w:cs="Times New Roman"/>
          <w:kern w:val="2"/>
          <w:sz w:val="24"/>
          <w:szCs w:val="24"/>
          <w:lang w:val="en-US" w:eastAsia="zh-CN" w:bidi="ar-SA"/>
        </w:rPr>
        <w:t>工业和信息化部发布《工业和信息化部办公厅关于印发2021年碳达峰碳中和专项行业标准制修订项目计划的通知》</w:t>
      </w:r>
      <w:r>
        <w:rPr>
          <w:rFonts w:hint="eastAsia" w:ascii="Times New Roman" w:hAnsi="Calibri" w:cs="Times New Roman"/>
          <w:kern w:val="2"/>
          <w:sz w:val="24"/>
          <w:szCs w:val="24"/>
          <w:lang w:val="en-US" w:eastAsia="zh-CN" w:bidi="ar-SA"/>
        </w:rPr>
        <w:t>（工信厅科函〔2021〕291号），</w:t>
      </w:r>
      <w:r>
        <w:rPr>
          <w:rFonts w:hint="eastAsia" w:ascii="Times New Roman" w:hAnsi="Calibri" w:eastAsia="宋体" w:cs="Times New Roman"/>
          <w:kern w:val="2"/>
          <w:sz w:val="24"/>
          <w:szCs w:val="24"/>
          <w:lang w:val="en-US" w:eastAsia="zh-CN" w:bidi="ar-SA"/>
        </w:rPr>
        <w:t>《产品碳足迹 产品种类规则 光伏组件》</w:t>
      </w:r>
      <w:r>
        <w:rPr>
          <w:rFonts w:hint="eastAsia" w:ascii="Times New Roman"/>
          <w:sz w:val="24"/>
          <w:lang w:eastAsia="zh-CN"/>
        </w:rPr>
        <w:t>正式立项。</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rPr>
          <w:rFonts w:hint="default" w:ascii="Times New Roman"/>
          <w:sz w:val="24"/>
          <w:lang w:val="en-US" w:eastAsia="zh-CN"/>
        </w:rPr>
      </w:pPr>
      <w:r>
        <w:rPr>
          <w:rFonts w:hint="eastAsia" w:ascii="Times New Roman"/>
          <w:sz w:val="24"/>
          <w:lang w:val="en-US" w:eastAsia="zh-CN"/>
        </w:rPr>
        <w:t>2022年1月6日，电子标准院绿色发展研究中心发布《电子标准院关于征集工信部2021年碳达峰碳中和专项行业标准《低碳产品评价技术规范 光伏组件》等3项电子行业标准编制组成员的通知》</w:t>
      </w:r>
      <w:r>
        <w:rPr>
          <w:rFonts w:hint="eastAsia" w:ascii="Times New Roman" w:hAnsi="Calibri" w:cs="Times New Roman"/>
          <w:kern w:val="2"/>
          <w:sz w:val="24"/>
          <w:szCs w:val="24"/>
          <w:lang w:val="en-US" w:eastAsia="zh-CN" w:bidi="ar-SA"/>
        </w:rPr>
        <w:t>（电标绿发函〔2022〕4号），公开征集参编单位。</w:t>
      </w:r>
    </w:p>
    <w:p>
      <w:pPr>
        <w:pStyle w:val="3"/>
        <w:spacing w:before="0" w:beforeAutospacing="0" w:after="0" w:afterAutospacing="0" w:line="360" w:lineRule="auto"/>
        <w:ind w:firstLine="484" w:firstLineChars="202"/>
        <w:textAlignment w:val="baseline"/>
        <w:rPr>
          <w:rFonts w:hint="eastAsia" w:ascii="Times New Roman" w:hAnsi="Calibri" w:cs="Times New Roman"/>
          <w:kern w:val="2"/>
          <w:sz w:val="24"/>
          <w:szCs w:val="24"/>
          <w:lang w:val="en-US" w:eastAsia="zh-CN" w:bidi="ar-SA"/>
        </w:rPr>
      </w:pPr>
      <w:r>
        <w:rPr>
          <w:rFonts w:hint="eastAsia" w:ascii="Times New Roman" w:hAnsi="Calibri" w:cs="Times New Roman"/>
          <w:kern w:val="2"/>
          <w:sz w:val="24"/>
          <w:szCs w:val="24"/>
          <w:lang w:val="en-US" w:eastAsia="zh-CN" w:bidi="ar-SA"/>
        </w:rPr>
        <w:t>2022年2月10日形成标准草案v1。</w:t>
      </w:r>
    </w:p>
    <w:p>
      <w:pPr>
        <w:pStyle w:val="3"/>
        <w:spacing w:before="0" w:beforeAutospacing="0" w:after="0" w:afterAutospacing="0" w:line="360" w:lineRule="auto"/>
        <w:ind w:firstLine="484" w:firstLineChars="202"/>
        <w:textAlignment w:val="baseline"/>
        <w:rPr>
          <w:rFonts w:hint="default" w:ascii="Times New Roman" w:hAnsi="Calibri" w:cs="Times New Roman"/>
          <w:kern w:val="2"/>
          <w:sz w:val="24"/>
          <w:szCs w:val="24"/>
          <w:lang w:val="en-US" w:eastAsia="zh-CN" w:bidi="ar-SA"/>
        </w:rPr>
      </w:pPr>
      <w:r>
        <w:rPr>
          <w:rFonts w:hint="eastAsia" w:ascii="Times New Roman" w:hAnsi="Calibri" w:cs="Times New Roman"/>
          <w:kern w:val="2"/>
          <w:sz w:val="24"/>
          <w:szCs w:val="24"/>
          <w:lang w:val="en-US" w:eastAsia="zh-CN" w:bidi="ar-SA"/>
        </w:rPr>
        <w:t>2022年2月25日组织初步讨论会，形成草案v2。</w:t>
      </w:r>
    </w:p>
    <w:p>
      <w:pPr>
        <w:pStyle w:val="3"/>
        <w:spacing w:before="0" w:beforeAutospacing="0" w:after="0" w:afterAutospacing="0" w:line="360" w:lineRule="auto"/>
        <w:ind w:firstLine="484" w:firstLineChars="202"/>
        <w:textAlignment w:val="baseline"/>
        <w:rPr>
          <w:rFonts w:hint="eastAsia" w:ascii="Times New Roman" w:hAnsi="Calibri" w:cs="Times New Roman"/>
          <w:kern w:val="2"/>
          <w:sz w:val="24"/>
          <w:szCs w:val="24"/>
          <w:lang w:val="en-US" w:eastAsia="zh-CN" w:bidi="ar-SA"/>
        </w:rPr>
      </w:pPr>
      <w:r>
        <w:rPr>
          <w:rFonts w:hint="eastAsia" w:ascii="Times New Roman" w:hAnsi="Calibri" w:cs="Times New Roman"/>
          <w:kern w:val="2"/>
          <w:sz w:val="24"/>
          <w:szCs w:val="24"/>
          <w:lang w:val="en-US" w:eastAsia="zh-CN" w:bidi="ar-SA"/>
        </w:rPr>
        <w:t>2022年3月24日召开标准启动会，根据会上专家意见形成草案v3。</w:t>
      </w:r>
    </w:p>
    <w:p>
      <w:pPr>
        <w:pStyle w:val="3"/>
        <w:spacing w:before="0" w:beforeAutospacing="0" w:after="0" w:afterAutospacing="0" w:line="360" w:lineRule="auto"/>
        <w:ind w:firstLine="484" w:firstLineChars="202"/>
        <w:textAlignment w:val="baseline"/>
        <w:rPr>
          <w:rFonts w:hint="default" w:ascii="Times New Roman" w:hAnsi="Calibri" w:cs="Times New Roman"/>
          <w:kern w:val="2"/>
          <w:sz w:val="24"/>
          <w:szCs w:val="24"/>
          <w:lang w:val="en-US" w:eastAsia="zh-CN" w:bidi="ar-SA"/>
        </w:rPr>
      </w:pPr>
      <w:r>
        <w:rPr>
          <w:rFonts w:hint="eastAsia" w:ascii="Times New Roman" w:hAnsi="Calibri" w:cs="Times New Roman"/>
          <w:kern w:val="2"/>
          <w:sz w:val="24"/>
          <w:szCs w:val="24"/>
          <w:lang w:val="en-US" w:eastAsia="zh-CN" w:bidi="ar-SA"/>
        </w:rPr>
        <w:t>2022年8月9日组织标准讨论会，逐条对标准内容进行讨论，会后形成标准征求意见稿。</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宋体" w:eastAsia="宋体" w:cs="Times New Roman"/>
          <w:b/>
          <w:bCs/>
          <w:sz w:val="24"/>
        </w:rPr>
      </w:pPr>
      <w:r>
        <w:rPr>
          <w:rFonts w:hint="eastAsia" w:ascii="宋体" w:hAnsi="宋体" w:eastAsia="宋体" w:cs="Times New Roman"/>
          <w:b/>
          <w:bCs/>
          <w:sz w:val="24"/>
        </w:rPr>
        <w:t>二、标准编制原则和主要内容的论据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内容包括：标准编制原则和确定标准主要技术内容的论据（包括技术质保、参数、公式、性能要求、试验方法、检验规则等），解决的主要问题。修订标准的应当提出标准技术内容的主要差异、水平对比，变化依据和理由。</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rPr>
          <w:rFonts w:hint="eastAsia"/>
          <w:b/>
          <w:sz w:val="24"/>
          <w:szCs w:val="24"/>
        </w:rPr>
      </w:pPr>
      <w:r>
        <w:rPr>
          <w:rFonts w:hint="eastAsia"/>
          <w:b/>
          <w:sz w:val="24"/>
          <w:szCs w:val="24"/>
        </w:rPr>
        <w:t>1、编制原则</w:t>
      </w:r>
    </w:p>
    <w:p>
      <w:pPr>
        <w:pStyle w:val="11"/>
        <w:keepNext w:val="0"/>
        <w:keepLines w:val="0"/>
        <w:pageBreakBefore w:val="0"/>
        <w:widowControl w:val="0"/>
        <w:numPr>
          <w:ilvl w:val="0"/>
          <w:numId w:val="0"/>
        </w:numPr>
        <w:tabs>
          <w:tab w:val="left" w:pos="499"/>
        </w:tabs>
        <w:kinsoku/>
        <w:wordWrap/>
        <w:overflowPunct/>
        <w:topLinePunct w:val="0"/>
        <w:autoSpaceDE w:val="0"/>
        <w:autoSpaceDN w:val="0"/>
        <w:bidi w:val="0"/>
        <w:adjustRightInd/>
        <w:snapToGrid/>
        <w:spacing w:before="2" w:after="0" w:line="360" w:lineRule="auto"/>
        <w:ind w:left="136" w:leftChars="0" w:right="703" w:rightChars="0" w:firstLine="480" w:firstLineChars="200"/>
        <w:jc w:val="left"/>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本文件按照 GB/T1.1-2020《标准化工作导则第一部分：标准的结构和编写规则》的要求编写</w:t>
      </w:r>
      <w:r>
        <w:rPr>
          <w:rFonts w:hint="eastAsia" w:ascii="Times New Roman" w:hAnsi="Calibri" w:cs="Times New Roman"/>
          <w:kern w:val="2"/>
          <w:sz w:val="24"/>
          <w:szCs w:val="24"/>
          <w:lang w:val="en-US" w:eastAsia="zh-CN" w:bidi="ar-SA"/>
        </w:rPr>
        <w:t>，并以科学性、统一性、实用性为原则。</w:t>
      </w:r>
    </w:p>
    <w:p>
      <w:pPr>
        <w:pStyle w:val="11"/>
        <w:keepNext w:val="0"/>
        <w:keepLines w:val="0"/>
        <w:pageBreakBefore w:val="0"/>
        <w:widowControl w:val="0"/>
        <w:numPr>
          <w:ilvl w:val="0"/>
          <w:numId w:val="0"/>
        </w:numPr>
        <w:tabs>
          <w:tab w:val="left" w:pos="499"/>
        </w:tabs>
        <w:kinsoku/>
        <w:wordWrap/>
        <w:overflowPunct/>
        <w:topLinePunct w:val="0"/>
        <w:autoSpaceDE w:val="0"/>
        <w:autoSpaceDN w:val="0"/>
        <w:bidi w:val="0"/>
        <w:adjustRightInd/>
        <w:snapToGrid/>
        <w:spacing w:before="2" w:after="0" w:line="360" w:lineRule="auto"/>
        <w:ind w:left="136" w:leftChars="0" w:right="703" w:rightChars="0" w:firstLine="480" w:firstLineChars="200"/>
        <w:jc w:val="left"/>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1、科学性。本规范按照生命周期理念,系统考虑了</w:t>
      </w:r>
      <w:r>
        <w:rPr>
          <w:rFonts w:hint="eastAsia" w:ascii="Times New Roman" w:hAnsi="Calibri" w:cs="Times New Roman"/>
          <w:kern w:val="2"/>
          <w:sz w:val="24"/>
          <w:szCs w:val="24"/>
          <w:lang w:val="en-US" w:eastAsia="zh-CN" w:bidi="ar-SA"/>
        </w:rPr>
        <w:t>光伏组件</w:t>
      </w:r>
      <w:r>
        <w:rPr>
          <w:rFonts w:hint="eastAsia" w:ascii="Times New Roman" w:hAnsi="Calibri" w:eastAsia="宋体" w:cs="Times New Roman"/>
          <w:kern w:val="2"/>
          <w:sz w:val="24"/>
          <w:szCs w:val="24"/>
          <w:lang w:val="en-US" w:eastAsia="zh-CN" w:bidi="ar-SA"/>
        </w:rPr>
        <w:t>产品全生命周期阶段碳排放的评价原则。</w:t>
      </w:r>
    </w:p>
    <w:p>
      <w:pPr>
        <w:pStyle w:val="11"/>
        <w:keepNext w:val="0"/>
        <w:keepLines w:val="0"/>
        <w:pageBreakBefore w:val="0"/>
        <w:widowControl w:val="0"/>
        <w:numPr>
          <w:ilvl w:val="0"/>
          <w:numId w:val="0"/>
        </w:numPr>
        <w:tabs>
          <w:tab w:val="left" w:pos="499"/>
        </w:tabs>
        <w:kinsoku/>
        <w:wordWrap/>
        <w:overflowPunct/>
        <w:topLinePunct w:val="0"/>
        <w:autoSpaceDE w:val="0"/>
        <w:autoSpaceDN w:val="0"/>
        <w:bidi w:val="0"/>
        <w:adjustRightInd/>
        <w:snapToGrid/>
        <w:spacing w:before="2" w:after="0" w:line="360" w:lineRule="auto"/>
        <w:ind w:left="136" w:leftChars="0" w:right="703" w:rightChars="0" w:firstLine="480" w:firstLineChars="200"/>
        <w:jc w:val="left"/>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2、统一性。在编制本规范时,充分参考了国际、国内相关碳排放评价标准,与国际标准在要求上是统一的。</w:t>
      </w:r>
    </w:p>
    <w:p>
      <w:pPr>
        <w:pStyle w:val="11"/>
        <w:keepNext w:val="0"/>
        <w:keepLines w:val="0"/>
        <w:pageBreakBefore w:val="0"/>
        <w:widowControl w:val="0"/>
        <w:numPr>
          <w:ilvl w:val="0"/>
          <w:numId w:val="0"/>
        </w:numPr>
        <w:tabs>
          <w:tab w:val="left" w:pos="499"/>
        </w:tabs>
        <w:kinsoku/>
        <w:wordWrap/>
        <w:overflowPunct/>
        <w:topLinePunct w:val="0"/>
        <w:autoSpaceDE w:val="0"/>
        <w:autoSpaceDN w:val="0"/>
        <w:bidi w:val="0"/>
        <w:adjustRightInd/>
        <w:snapToGrid/>
        <w:spacing w:before="2" w:after="0" w:line="360" w:lineRule="auto"/>
        <w:ind w:left="136" w:leftChars="0" w:right="703" w:rightChars="0" w:firstLine="480" w:firstLineChars="200"/>
        <w:jc w:val="left"/>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3、实用性。为不同产品碳排放评价规则制定需要遵循的共同原则,为碳标签及低碳产品评价提供技术支持。充分考虑我国</w:t>
      </w:r>
      <w:r>
        <w:rPr>
          <w:rFonts w:hint="eastAsia" w:ascii="Times New Roman" w:hAnsi="Calibri" w:cs="Times New Roman"/>
          <w:kern w:val="2"/>
          <w:sz w:val="24"/>
          <w:szCs w:val="24"/>
          <w:lang w:val="en-US" w:eastAsia="zh-CN" w:bidi="ar-SA"/>
        </w:rPr>
        <w:t>光伏组件</w:t>
      </w:r>
      <w:r>
        <w:rPr>
          <w:rFonts w:hint="eastAsia" w:ascii="Times New Roman" w:hAnsi="Calibri" w:eastAsia="宋体" w:cs="Times New Roman"/>
          <w:kern w:val="2"/>
          <w:sz w:val="24"/>
          <w:szCs w:val="24"/>
          <w:lang w:val="en-US" w:eastAsia="zh-CN" w:bidi="ar-SA"/>
        </w:rPr>
        <w:t>生产企业的技术发展水平和能耗统计现状、数据提供能力。</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rPr>
          <w:b/>
          <w:sz w:val="24"/>
          <w:szCs w:val="24"/>
        </w:rPr>
      </w:pPr>
      <w:r>
        <w:rPr>
          <w:rFonts w:hint="eastAsia"/>
          <w:b/>
          <w:sz w:val="24"/>
          <w:szCs w:val="24"/>
        </w:rPr>
        <w:t>2、确定主要内容的论据及解决的主要问题</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Calibri" w:eastAsia="宋体" w:cs="Times New Roman"/>
          <w:sz w:val="24"/>
          <w:szCs w:val="24"/>
          <w:lang w:eastAsia="zh-CN"/>
        </w:rPr>
      </w:pPr>
      <w:r>
        <w:rPr>
          <w:rFonts w:hint="eastAsia" w:ascii="Times New Roman" w:hAnsi="Calibri" w:cs="Times New Roman"/>
          <w:sz w:val="24"/>
          <w:szCs w:val="24"/>
          <w:lang w:eastAsia="zh-CN"/>
        </w:rPr>
        <w:t>基于生命周期过程以及产业发展现状，确定功能单位为生产</w:t>
      </w:r>
      <w:r>
        <w:rPr>
          <w:rFonts w:hint="eastAsia" w:ascii="Times New Roman" w:hAnsi="Calibri" w:cs="Times New Roman"/>
          <w:sz w:val="24"/>
          <w:szCs w:val="24"/>
          <w:lang w:val="en-US" w:eastAsia="zh-CN"/>
        </w:rPr>
        <w:t>1 千瓦光伏组件产品，</w:t>
      </w:r>
      <w:r>
        <w:rPr>
          <w:rFonts w:hint="eastAsia" w:ascii="Times New Roman" w:hAnsi="Calibri" w:cs="Times New Roman"/>
          <w:sz w:val="24"/>
          <w:szCs w:val="24"/>
          <w:lang w:eastAsia="zh-CN"/>
        </w:rPr>
        <w:t>光伏组件产品系统边界如下图所示，应包括从原材料生产到组件产品出厂的过程，宜包括组件安装使用到最终废弃的过程。</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jc w:val="center"/>
        <w:textAlignment w:val="auto"/>
        <w:outlineLvl w:val="0"/>
        <w:rPr>
          <w:rFonts w:hint="eastAsia"/>
          <w:color w:val="auto"/>
          <w:lang w:val="en-US" w:eastAsia="zh-CN"/>
        </w:rPr>
      </w:pPr>
      <w:r>
        <w:rPr>
          <w:highlight w:val="none"/>
        </w:rPr>
        <w:drawing>
          <wp:inline distT="0" distB="0" distL="114300" distR="114300">
            <wp:extent cx="4819650" cy="2026285"/>
            <wp:effectExtent l="0" t="0" r="0" b="1206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4819650" cy="2026285"/>
                    </a:xfrm>
                    <a:prstGeom prst="rect">
                      <a:avLst/>
                    </a:prstGeom>
                  </pic:spPr>
                </pic:pic>
              </a:graphicData>
            </a:graphic>
          </wp:inline>
        </w:drawing>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20" w:firstLineChars="200"/>
        <w:jc w:val="both"/>
        <w:textAlignment w:val="auto"/>
        <w:outlineLvl w:val="0"/>
        <w:rPr>
          <w:rFonts w:hint="eastAsia"/>
          <w:color w:val="auto"/>
          <w:lang w:val="en-US" w:eastAsia="zh-CN"/>
        </w:rPr>
      </w:pPr>
      <w:r>
        <w:rPr>
          <w:rFonts w:hint="eastAsia"/>
          <w:color w:val="auto"/>
          <w:lang w:val="en-US" w:eastAsia="zh-CN"/>
        </w:rPr>
        <w:t>针对4.3.4数据取舍原则</w:t>
      </w:r>
    </w:p>
    <w:p>
      <w:pPr>
        <w:pStyle w:val="15"/>
        <w:numPr>
          <w:ilvl w:val="0"/>
          <w:numId w:val="6"/>
        </w:numPr>
      </w:pPr>
      <w:r>
        <w:rPr>
          <w:rFonts w:hint="eastAsia"/>
        </w:rPr>
        <w:t>所有的能源输入均需列出,包括使用的含能废弃物；</w:t>
      </w:r>
    </w:p>
    <w:p>
      <w:pPr>
        <w:pStyle w:val="15"/>
        <w:numPr>
          <w:ilvl w:val="0"/>
          <w:numId w:val="6"/>
        </w:numPr>
      </w:pPr>
      <w:r>
        <w:rPr>
          <w:rFonts w:hint="eastAsia"/>
        </w:rPr>
        <w:t>应列出主要的原材料及利废原料输入,若符合4.3.4中c)和d)要求则可忽略；</w:t>
      </w:r>
    </w:p>
    <w:p>
      <w:pPr>
        <w:pStyle w:val="15"/>
        <w:numPr>
          <w:ilvl w:val="0"/>
          <w:numId w:val="6"/>
        </w:numPr>
        <w:rPr>
          <w:highlight w:val="none"/>
        </w:rPr>
      </w:pPr>
      <w:r>
        <w:rPr>
          <w:rFonts w:hint="eastAsia"/>
        </w:rPr>
        <w:t>忽略的单项物质(能量)流或单元过程对产品碳足迹的贡献均不</w:t>
      </w:r>
      <w:r>
        <w:rPr>
          <w:rFonts w:hint="eastAsia"/>
          <w:highlight w:val="none"/>
        </w:rPr>
        <w:t>得超过</w:t>
      </w:r>
      <w:r>
        <w:rPr>
          <w:highlight w:val="none"/>
        </w:rPr>
        <w:t>1%</w:t>
      </w:r>
      <w:r>
        <w:rPr>
          <w:rFonts w:hint="eastAsia"/>
          <w:highlight w:val="none"/>
        </w:rPr>
        <w:t>；</w:t>
      </w:r>
    </w:p>
    <w:p>
      <w:pPr>
        <w:pStyle w:val="15"/>
        <w:numPr>
          <w:ilvl w:val="0"/>
          <w:numId w:val="6"/>
        </w:numPr>
      </w:pPr>
      <w:r>
        <w:rPr>
          <w:rFonts w:hint="eastAsia"/>
          <w:highlight w:val="none"/>
        </w:rPr>
        <w:t>所有忽略的物质(能量)流与单元过程对产品碳足迹贡献总和不超过</w:t>
      </w:r>
      <w:r>
        <w:rPr>
          <w:highlight w:val="none"/>
        </w:rPr>
        <w:t>5%</w:t>
      </w:r>
      <w:r>
        <w:rPr>
          <w:rFonts w:hint="eastAsia"/>
        </w:rPr>
        <w:t>,且应在碳足迹报告中予以说明；</w:t>
      </w:r>
    </w:p>
    <w:p>
      <w:pPr>
        <w:pStyle w:val="15"/>
        <w:numPr>
          <w:ilvl w:val="0"/>
          <w:numId w:val="6"/>
        </w:numPr>
        <w:rPr>
          <w:highlight w:val="none"/>
        </w:rPr>
      </w:pPr>
      <w:r>
        <w:rPr>
          <w:rFonts w:hint="eastAsia"/>
        </w:rPr>
        <w:t>本文件涉及的温室气体应包含二氧化碳(CO</w:t>
      </w:r>
      <w:r>
        <w:rPr>
          <w:rFonts w:hint="eastAsia"/>
          <w:vertAlign w:val="subscript"/>
        </w:rPr>
        <w:t>2</w:t>
      </w:r>
      <w:r>
        <w:rPr>
          <w:rFonts w:hint="eastAsia"/>
        </w:rPr>
        <w:t>)、甲烷(CH</w:t>
      </w:r>
      <w:r>
        <w:rPr>
          <w:rFonts w:hint="eastAsia"/>
          <w:vertAlign w:val="subscript"/>
        </w:rPr>
        <w:t>4</w:t>
      </w:r>
      <w:r>
        <w:rPr>
          <w:rFonts w:hint="eastAsia"/>
        </w:rPr>
        <w:t>)、氧化亚氮(N</w:t>
      </w:r>
      <w:r>
        <w:rPr>
          <w:rFonts w:hint="eastAsia"/>
          <w:vertAlign w:val="subscript"/>
        </w:rPr>
        <w:t>2</w:t>
      </w:r>
      <w:r>
        <w:rPr>
          <w:rFonts w:hint="eastAsia"/>
        </w:rPr>
        <w:t>O),宜包含氢氟碳化物(HFCs)、全氟碳化物(P</w:t>
      </w:r>
      <w:r>
        <w:rPr>
          <w:rFonts w:hint="eastAsia"/>
          <w:highlight w:val="none"/>
        </w:rPr>
        <w:t>FCs)、六氟化硫(SF</w:t>
      </w:r>
      <w:r>
        <w:rPr>
          <w:rFonts w:hint="eastAsia"/>
          <w:highlight w:val="none"/>
          <w:vertAlign w:val="subscript"/>
        </w:rPr>
        <w:t>6</w:t>
      </w:r>
      <w:r>
        <w:rPr>
          <w:rFonts w:hint="eastAsia"/>
          <w:highlight w:val="none"/>
        </w:rPr>
        <w:t>)与三氟化氮(NF</w:t>
      </w:r>
      <w:r>
        <w:rPr>
          <w:rFonts w:hint="eastAsia"/>
          <w:highlight w:val="none"/>
          <w:vertAlign w:val="subscript"/>
        </w:rPr>
        <w:t>3</w:t>
      </w:r>
      <w:r>
        <w:rPr>
          <w:rFonts w:hint="eastAsia"/>
          <w:highlight w:val="none"/>
        </w:rPr>
        <w:t>)。</w:t>
      </w:r>
    </w:p>
    <w:p>
      <w:pPr>
        <w:pStyle w:val="15"/>
        <w:numPr>
          <w:ilvl w:val="0"/>
          <w:numId w:val="6"/>
        </w:numPr>
        <w:rPr>
          <w:highlight w:val="none"/>
        </w:rPr>
      </w:pPr>
      <w:r>
        <w:rPr>
          <w:rFonts w:hint="eastAsia"/>
          <w:highlight w:val="none"/>
        </w:rPr>
        <w:t>道路与厂房的基础设施、各工序设备</w:t>
      </w:r>
      <w:r>
        <w:rPr>
          <w:rFonts w:hint="eastAsia"/>
          <w:highlight w:val="none"/>
          <w:lang w:eastAsia="zh-CN"/>
        </w:rPr>
        <w:t>的制造与装配</w:t>
      </w:r>
      <w:r>
        <w:rPr>
          <w:rFonts w:hint="eastAsia"/>
          <w:highlight w:val="none"/>
        </w:rPr>
        <w:t>、厂区内人员及生活设施的消耗和排放,均忽略。</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20" w:firstLineChars="200"/>
        <w:jc w:val="both"/>
        <w:textAlignment w:val="auto"/>
        <w:outlineLvl w:val="0"/>
        <w:rPr>
          <w:rFonts w:hint="eastAsia"/>
          <w:color w:val="auto"/>
          <w:highlight w:val="none"/>
          <w:lang w:val="en-US" w:eastAsia="zh-CN"/>
        </w:rPr>
      </w:pPr>
      <w:r>
        <w:rPr>
          <w:rFonts w:hint="eastAsia"/>
          <w:highlight w:val="none"/>
          <w:lang w:val="en-US" w:eastAsia="zh-CN"/>
        </w:rPr>
        <w:t>标准启动会上有专家提到对于取舍原则f条应与国际相关方法学相统一。经检索，在国际相关PCR或碳足迹评价方法中，仅有法国碳足迹对f条忽略的排放进行了收集，译文如下：</w:t>
      </w:r>
      <w:r>
        <w:rPr>
          <w:rFonts w:hint="eastAsia"/>
          <w:color w:val="auto"/>
          <w:highlight w:val="none"/>
          <w:lang w:val="en-US" w:eastAsia="zh-CN"/>
        </w:rPr>
        <w:t>“</w:t>
      </w:r>
      <w:r>
        <w:rPr>
          <w:rFonts w:hint="eastAsia"/>
          <w:b w:val="0"/>
          <w:bCs w:val="0"/>
          <w:color w:val="auto"/>
          <w:highlight w:val="none"/>
          <w:lang w:val="en-US" w:eastAsia="zh-CN"/>
        </w:rPr>
        <w:t>我们仅限于评估与组件生产，</w:t>
      </w:r>
      <w:r>
        <w:rPr>
          <w:rFonts w:hint="eastAsia"/>
          <w:b/>
          <w:bCs/>
          <w:color w:val="auto"/>
          <w:highlight w:val="none"/>
          <w:lang w:val="en-US" w:eastAsia="zh-CN"/>
        </w:rPr>
        <w:t>过程设备，建筑物和公用事业</w:t>
      </w:r>
      <w:r>
        <w:rPr>
          <w:rFonts w:hint="eastAsia"/>
          <w:b w:val="0"/>
          <w:bCs w:val="0"/>
          <w:color w:val="auto"/>
          <w:highlight w:val="none"/>
          <w:lang w:val="en-US" w:eastAsia="zh-CN"/>
        </w:rPr>
        <w:t>（不包括行政和研发）相关的温室气体排放。计算温室气体排放时要考虑到体现的能量，即制造建筑和公用设施所需的能量</w:t>
      </w:r>
      <w:r>
        <w:rPr>
          <w:rFonts w:hint="eastAsia"/>
          <w:color w:val="auto"/>
          <w:highlight w:val="none"/>
          <w:lang w:val="en-US" w:eastAsia="zh-CN"/>
        </w:rPr>
        <w:t>”。但未对数据收集信息进行规定，也未给出计算方法。因此本文件保留本条内容。</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20" w:firstLineChars="200"/>
        <w:jc w:val="both"/>
        <w:textAlignment w:val="auto"/>
        <w:outlineLvl w:val="0"/>
        <w:rPr>
          <w:rFonts w:hint="default"/>
          <w:highlight w:val="none"/>
          <w:lang w:val="en-US" w:eastAsia="zh-CN"/>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20" w:firstLineChars="200"/>
        <w:jc w:val="both"/>
        <w:textAlignment w:val="auto"/>
        <w:outlineLvl w:val="0"/>
        <w:rPr>
          <w:rFonts w:hint="eastAsia"/>
          <w:color w:val="auto"/>
          <w:lang w:val="en-US" w:eastAsia="zh-CN"/>
        </w:rPr>
      </w:pPr>
      <w:r>
        <w:rPr>
          <w:rFonts w:hint="eastAsia"/>
          <w:color w:val="auto"/>
          <w:lang w:val="en-US" w:eastAsia="zh-CN"/>
        </w:rPr>
        <w:t>根据系统边界，现场数据应收集到数据种类以及详细收集表格，如表1、表2所示。</w:t>
      </w:r>
    </w:p>
    <w:p>
      <w:pPr>
        <w:pStyle w:val="16"/>
        <w:spacing w:before="120" w:after="120"/>
        <w:rPr>
          <w:rFonts w:hint="default"/>
          <w:color w:val="auto"/>
          <w:lang w:val="en-US" w:eastAsia="zh-CN"/>
        </w:rPr>
      </w:pPr>
      <w:r>
        <w:rPr>
          <w:rFonts w:hint="eastAsia"/>
          <w:color w:val="auto"/>
          <w:lang w:val="en-US" w:eastAsia="zh-CN"/>
        </w:rPr>
        <w:t>数据收集信息种类</w:t>
      </w:r>
    </w:p>
    <w:tbl>
      <w:tblPr>
        <w:tblStyle w:val="5"/>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类别</w:t>
            </w:r>
          </w:p>
        </w:tc>
        <w:tc>
          <w:tcPr>
            <w:tcW w:w="5158" w:type="dxa"/>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收集信息种类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01" w:type="dxa"/>
            <w:tcBorders>
              <w:top w:val="single" w:color="auto" w:sz="8" w:space="0"/>
              <w:left w:val="single" w:color="auto" w:sz="8" w:space="0"/>
            </w:tcBorders>
            <w:noWrap w:val="0"/>
            <w:vAlign w:val="center"/>
          </w:tcPr>
          <w:p>
            <w:pPr>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cs="宋体"/>
                <w:sz w:val="18"/>
                <w:szCs w:val="18"/>
                <w:highlight w:val="none"/>
              </w:rPr>
              <w:t>企业信息</w:t>
            </w:r>
          </w:p>
        </w:tc>
        <w:tc>
          <w:tcPr>
            <w:tcW w:w="5158" w:type="dxa"/>
            <w:tcBorders>
              <w:top w:val="single" w:color="auto" w:sz="8" w:space="0"/>
              <w:right w:val="single" w:color="auto" w:sz="8" w:space="0"/>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cs="宋体"/>
                <w:sz w:val="18"/>
                <w:szCs w:val="18"/>
                <w:highlight w:val="none"/>
              </w:rPr>
              <w:t>企业名称、地址、数据统计周期、生产规模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cs="宋体"/>
                <w:sz w:val="18"/>
                <w:szCs w:val="18"/>
                <w:highlight w:val="none"/>
              </w:rPr>
              <w:t>资源消耗</w:t>
            </w:r>
          </w:p>
        </w:tc>
        <w:tc>
          <w:tcPr>
            <w:tcW w:w="5158" w:type="dxa"/>
            <w:tcBorders>
              <w:right w:val="single" w:color="auto" w:sz="8" w:space="0"/>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cs="宋体"/>
                <w:sz w:val="18"/>
                <w:szCs w:val="18"/>
                <w:highlight w:val="none"/>
              </w:rPr>
              <w:t>原材料</w:t>
            </w:r>
            <w:r>
              <w:rPr>
                <w:rFonts w:hint="eastAsia" w:ascii="宋体" w:hAnsi="宋体" w:cs="宋体"/>
                <w:sz w:val="18"/>
                <w:szCs w:val="18"/>
                <w:highlight w:val="none"/>
                <w:lang w:eastAsia="zh-CN"/>
              </w:rPr>
              <w:t>、辅材</w:t>
            </w:r>
            <w:r>
              <w:rPr>
                <w:rFonts w:hint="eastAsia" w:ascii="宋体" w:hAnsi="宋体" w:cs="宋体"/>
                <w:sz w:val="18"/>
                <w:szCs w:val="18"/>
                <w:highlight w:val="none"/>
              </w:rPr>
              <w:t>、包装</w:t>
            </w:r>
            <w:r>
              <w:rPr>
                <w:rFonts w:hint="eastAsia" w:ascii="宋体" w:hAnsi="宋体" w:cs="宋体"/>
                <w:sz w:val="18"/>
                <w:szCs w:val="18"/>
                <w:highlight w:val="none"/>
                <w:lang w:eastAsia="zh-CN"/>
              </w:rPr>
              <w:t>材料</w:t>
            </w:r>
            <w:r>
              <w:rPr>
                <w:rFonts w:hint="eastAsia" w:ascii="宋体" w:hAnsi="宋体" w:cs="宋体"/>
                <w:sz w:val="18"/>
                <w:szCs w:val="18"/>
                <w:highlight w:val="none"/>
              </w:rPr>
              <w:t>的消耗量、水耗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01" w:type="dxa"/>
            <w:tcBorders>
              <w:left w:val="single" w:color="auto" w:sz="8" w:space="0"/>
            </w:tcBorders>
            <w:noWrap w:val="0"/>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cs="宋体"/>
                <w:sz w:val="18"/>
                <w:szCs w:val="18"/>
                <w:highlight w:val="none"/>
              </w:rPr>
              <w:t>能源消耗</w:t>
            </w:r>
          </w:p>
        </w:tc>
        <w:tc>
          <w:tcPr>
            <w:tcW w:w="5158" w:type="dxa"/>
            <w:tcBorders>
              <w:right w:val="single" w:color="auto" w:sz="8" w:space="0"/>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cs="宋体"/>
                <w:sz w:val="18"/>
                <w:szCs w:val="18"/>
                <w:highlight w:val="none"/>
              </w:rPr>
              <w:t>生产过程、厂内运输过程涉及的能源消耗量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tcBorders>
            <w:noWrap w:val="0"/>
            <w:vAlign w:val="center"/>
          </w:tcPr>
          <w:p>
            <w:pPr>
              <w:spacing w:line="240" w:lineRule="auto"/>
              <w:jc w:val="center"/>
              <w:rPr>
                <w:rFonts w:hint="default" w:ascii="宋体" w:hAnsi="宋体" w:eastAsia="宋体" w:cs="宋体"/>
                <w:color w:val="auto"/>
                <w:sz w:val="18"/>
                <w:szCs w:val="18"/>
                <w:lang w:val="en-US" w:eastAsia="zh-CN"/>
              </w:rPr>
            </w:pPr>
            <w:r>
              <w:rPr>
                <w:rFonts w:hint="eastAsia" w:ascii="宋体" w:hAnsi="宋体" w:cs="宋体"/>
                <w:sz w:val="18"/>
                <w:szCs w:val="18"/>
                <w:highlight w:val="none"/>
              </w:rPr>
              <w:t>生产过程的GHG直接排放</w:t>
            </w:r>
          </w:p>
        </w:tc>
        <w:tc>
          <w:tcPr>
            <w:tcW w:w="5158" w:type="dxa"/>
            <w:tcBorders>
              <w:right w:val="single" w:color="auto" w:sz="8" w:space="0"/>
            </w:tcBorders>
            <w:noWrap w:val="0"/>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cs="宋体"/>
                <w:sz w:val="18"/>
                <w:szCs w:val="18"/>
                <w:highlight w:val="none"/>
              </w:rPr>
              <w:t>组件生产过程的温室气体排放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tcBorders>
            <w:noWrap w:val="0"/>
            <w:vAlign w:val="center"/>
          </w:tcPr>
          <w:p>
            <w:pPr>
              <w:spacing w:line="240" w:lineRule="auto"/>
              <w:jc w:val="center"/>
              <w:rPr>
                <w:rFonts w:hint="eastAsia" w:ascii="宋体" w:hAnsi="宋体" w:cs="宋体"/>
                <w:color w:val="auto"/>
                <w:sz w:val="18"/>
                <w:szCs w:val="18"/>
                <w:lang w:eastAsia="zh-CN"/>
              </w:rPr>
            </w:pPr>
            <w:r>
              <w:rPr>
                <w:rFonts w:hint="eastAsia" w:ascii="宋体" w:hAnsi="宋体" w:cs="宋体"/>
                <w:sz w:val="18"/>
                <w:szCs w:val="18"/>
                <w:highlight w:val="none"/>
              </w:rPr>
              <w:t>废弃物</w:t>
            </w:r>
            <w:r>
              <w:rPr>
                <w:rFonts w:hint="eastAsia" w:ascii="宋体" w:hAnsi="宋体" w:cs="宋体"/>
                <w:sz w:val="18"/>
                <w:szCs w:val="18"/>
                <w:highlight w:val="none"/>
                <w:lang w:eastAsia="zh-CN"/>
              </w:rPr>
              <w:t>产生</w:t>
            </w:r>
          </w:p>
        </w:tc>
        <w:tc>
          <w:tcPr>
            <w:tcW w:w="5158" w:type="dxa"/>
            <w:tcBorders>
              <w:right w:val="single" w:color="auto" w:sz="8" w:space="0"/>
            </w:tcBorders>
            <w:noWrap w:val="0"/>
            <w:vAlign w:val="center"/>
          </w:tcPr>
          <w:p>
            <w:pPr>
              <w:spacing w:line="240" w:lineRule="auto"/>
              <w:jc w:val="center"/>
              <w:rPr>
                <w:rFonts w:hint="eastAsia" w:ascii="宋体" w:hAnsi="宋体" w:cs="宋体"/>
                <w:color w:val="auto"/>
                <w:sz w:val="18"/>
                <w:szCs w:val="18"/>
                <w:lang w:val="en-US" w:eastAsia="zh-CN"/>
              </w:rPr>
            </w:pPr>
            <w:r>
              <w:rPr>
                <w:rFonts w:hint="eastAsia" w:ascii="宋体" w:hAnsi="宋体" w:cs="宋体"/>
                <w:sz w:val="18"/>
                <w:szCs w:val="18"/>
                <w:highlight w:val="none"/>
                <w:lang w:eastAsia="zh-CN"/>
              </w:rPr>
              <w:t>固体废弃物</w:t>
            </w:r>
            <w:r>
              <w:rPr>
                <w:rFonts w:hint="eastAsia" w:ascii="宋体" w:hAnsi="宋体" w:cs="宋体"/>
                <w:sz w:val="18"/>
                <w:szCs w:val="18"/>
                <w:highlight w:val="none"/>
              </w:rPr>
              <w:t>及对应处理方式</w:t>
            </w:r>
            <w:r>
              <w:rPr>
                <w:rFonts w:hint="eastAsia" w:ascii="宋体" w:hAnsi="宋体" w:cs="宋体"/>
                <w:sz w:val="18"/>
                <w:szCs w:val="18"/>
                <w:highlight w:val="none"/>
                <w:lang w:eastAsia="zh-CN"/>
              </w:rPr>
              <w:t>（焚烧、填埋等）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1" w:type="dxa"/>
            <w:tcBorders>
              <w:left w:val="single" w:color="auto" w:sz="8" w:space="0"/>
              <w:bottom w:val="single" w:color="auto" w:sz="8" w:space="0"/>
            </w:tcBorders>
            <w:noWrap w:val="0"/>
            <w:vAlign w:val="center"/>
          </w:tcPr>
          <w:p>
            <w:pPr>
              <w:spacing w:line="240" w:lineRule="auto"/>
              <w:jc w:val="center"/>
              <w:rPr>
                <w:rFonts w:hint="eastAsia" w:ascii="宋体" w:hAnsi="宋体" w:cs="宋体"/>
                <w:color w:val="auto"/>
                <w:sz w:val="18"/>
                <w:szCs w:val="18"/>
                <w:lang w:eastAsia="zh-CN"/>
              </w:rPr>
            </w:pPr>
            <w:r>
              <w:rPr>
                <w:rFonts w:hint="eastAsia" w:ascii="宋体" w:hAnsi="宋体" w:cs="宋体"/>
                <w:sz w:val="18"/>
                <w:szCs w:val="18"/>
                <w:highlight w:val="none"/>
              </w:rPr>
              <w:t>运输</w:t>
            </w:r>
          </w:p>
        </w:tc>
        <w:tc>
          <w:tcPr>
            <w:tcW w:w="5158" w:type="dxa"/>
            <w:tcBorders>
              <w:bottom w:val="single" w:color="auto" w:sz="8" w:space="0"/>
              <w:right w:val="single" w:color="auto" w:sz="8" w:space="0"/>
            </w:tcBorders>
            <w:noWrap w:val="0"/>
            <w:vAlign w:val="center"/>
          </w:tcPr>
          <w:p>
            <w:pPr>
              <w:spacing w:line="240" w:lineRule="auto"/>
              <w:jc w:val="center"/>
              <w:rPr>
                <w:rFonts w:hint="default" w:ascii="宋体" w:hAnsi="宋体" w:cs="宋体"/>
                <w:color w:val="auto"/>
                <w:sz w:val="18"/>
                <w:szCs w:val="18"/>
                <w:lang w:val="en-US" w:eastAsia="zh-CN"/>
              </w:rPr>
            </w:pPr>
            <w:r>
              <w:rPr>
                <w:rFonts w:hint="eastAsia" w:ascii="宋体" w:hAnsi="宋体" w:cs="宋体"/>
                <w:sz w:val="18"/>
                <w:szCs w:val="18"/>
                <w:highlight w:val="none"/>
              </w:rPr>
              <w:t>原料、能源及废弃物的运输距离及运输方式；</w:t>
            </w:r>
          </w:p>
        </w:tc>
      </w:tr>
    </w:tbl>
    <w:p>
      <w:pPr>
        <w:pStyle w:val="16"/>
        <w:numPr>
          <w:ilvl w:val="0"/>
          <w:numId w:val="0"/>
        </w:numPr>
        <w:spacing w:before="120" w:after="120"/>
        <w:ind w:leftChars="0"/>
        <w:jc w:val="both"/>
        <w:rPr>
          <w:rFonts w:hint="default"/>
          <w:color w:val="auto"/>
          <w:lang w:val="en-US" w:eastAsia="zh-CN"/>
        </w:rPr>
      </w:pPr>
    </w:p>
    <w:p>
      <w:pPr>
        <w:pStyle w:val="12"/>
        <w:rPr>
          <w:rFonts w:hint="default"/>
          <w:lang w:val="en-US" w:eastAsia="zh-CN"/>
        </w:rPr>
      </w:pPr>
    </w:p>
    <w:p>
      <w:pPr>
        <w:pStyle w:val="16"/>
        <w:spacing w:before="120" w:after="120"/>
        <w:rPr>
          <w:rFonts w:hint="default"/>
          <w:color w:val="auto"/>
          <w:lang w:val="en-US" w:eastAsia="zh-CN"/>
        </w:rPr>
      </w:pPr>
      <w:r>
        <w:rPr>
          <w:rFonts w:hint="eastAsia"/>
          <w:color w:val="auto"/>
          <w:lang w:eastAsia="zh-CN"/>
        </w:rPr>
        <w:t>现场数据收集表</w:t>
      </w:r>
    </w:p>
    <w:tbl>
      <w:tblPr>
        <w:tblStyle w:val="5"/>
        <w:tblW w:w="95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400"/>
        <w:gridCol w:w="951"/>
        <w:gridCol w:w="237"/>
        <w:gridCol w:w="795"/>
        <w:gridCol w:w="393"/>
        <w:gridCol w:w="634"/>
        <w:gridCol w:w="61"/>
        <w:gridCol w:w="493"/>
        <w:gridCol w:w="474"/>
        <w:gridCol w:w="344"/>
        <w:gridCol w:w="370"/>
        <w:gridCol w:w="43"/>
        <w:gridCol w:w="271"/>
        <w:gridCol w:w="688"/>
        <w:gridCol w:w="186"/>
        <w:gridCol w:w="154"/>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3" w:type="dxa"/>
            <w:vMerge w:val="restart"/>
            <w:vAlign w:val="center"/>
          </w:tcPr>
          <w:p>
            <w:pPr>
              <w:pStyle w:val="17"/>
              <w:numPr>
                <w:ilvl w:val="0"/>
                <w:numId w:val="0"/>
              </w:numPr>
              <w:jc w:val="center"/>
              <w:rPr>
                <w:sz w:val="18"/>
                <w:szCs w:val="18"/>
                <w:highlight w:val="none"/>
              </w:rPr>
            </w:pPr>
            <w:r>
              <w:rPr>
                <w:rFonts w:hint="eastAsia"/>
                <w:sz w:val="18"/>
                <w:szCs w:val="18"/>
                <w:highlight w:val="none"/>
              </w:rPr>
              <w:t>企业信息</w:t>
            </w:r>
          </w:p>
        </w:tc>
        <w:tc>
          <w:tcPr>
            <w:tcW w:w="1400" w:type="dxa"/>
            <w:vAlign w:val="center"/>
          </w:tcPr>
          <w:p>
            <w:pPr>
              <w:pStyle w:val="17"/>
              <w:numPr>
                <w:ilvl w:val="0"/>
                <w:numId w:val="0"/>
              </w:numPr>
              <w:jc w:val="center"/>
              <w:rPr>
                <w:sz w:val="18"/>
                <w:szCs w:val="18"/>
                <w:highlight w:val="none"/>
              </w:rPr>
            </w:pPr>
            <w:r>
              <w:rPr>
                <w:rFonts w:hint="eastAsia"/>
                <w:sz w:val="18"/>
                <w:szCs w:val="18"/>
                <w:highlight w:val="none"/>
              </w:rPr>
              <w:t>企业名称</w:t>
            </w:r>
          </w:p>
        </w:tc>
        <w:tc>
          <w:tcPr>
            <w:tcW w:w="7136" w:type="dxa"/>
            <w:gridSpan w:val="16"/>
            <w:vAlign w:val="center"/>
          </w:tcPr>
          <w:p>
            <w:pPr>
              <w:pStyle w:val="17"/>
              <w:numPr>
                <w:ilvl w:val="0"/>
                <w:numId w:val="0"/>
              </w:numPr>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jc w:val="center"/>
              <w:rPr>
                <w:sz w:val="18"/>
                <w:szCs w:val="18"/>
                <w:highlight w:val="none"/>
              </w:rPr>
            </w:pPr>
            <w:r>
              <w:rPr>
                <w:rFonts w:hint="eastAsia"/>
                <w:sz w:val="18"/>
                <w:szCs w:val="18"/>
                <w:highlight w:val="none"/>
              </w:rPr>
              <w:t>所在省份</w:t>
            </w:r>
          </w:p>
        </w:tc>
        <w:tc>
          <w:tcPr>
            <w:tcW w:w="7136" w:type="dxa"/>
            <w:gridSpan w:val="16"/>
            <w:vAlign w:val="center"/>
          </w:tcPr>
          <w:p>
            <w:pPr>
              <w:pStyle w:val="17"/>
              <w:numPr>
                <w:ilvl w:val="0"/>
                <w:numId w:val="0"/>
              </w:numPr>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jc w:val="center"/>
              <w:rPr>
                <w:sz w:val="18"/>
                <w:szCs w:val="18"/>
                <w:highlight w:val="none"/>
              </w:rPr>
            </w:pPr>
            <w:r>
              <w:rPr>
                <w:rFonts w:hint="eastAsia"/>
                <w:sz w:val="18"/>
                <w:szCs w:val="18"/>
                <w:highlight w:val="none"/>
              </w:rPr>
              <w:t>企业地址</w:t>
            </w:r>
          </w:p>
        </w:tc>
        <w:tc>
          <w:tcPr>
            <w:tcW w:w="7136" w:type="dxa"/>
            <w:gridSpan w:val="16"/>
            <w:vAlign w:val="center"/>
          </w:tcPr>
          <w:p>
            <w:pPr>
              <w:pStyle w:val="17"/>
              <w:numPr>
                <w:ilvl w:val="0"/>
                <w:numId w:val="0"/>
              </w:numPr>
              <w:jc w:val="left"/>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Merge w:val="restart"/>
            <w:vAlign w:val="center"/>
          </w:tcPr>
          <w:p>
            <w:pPr>
              <w:pStyle w:val="17"/>
              <w:numPr>
                <w:ilvl w:val="0"/>
                <w:numId w:val="0"/>
              </w:numPr>
              <w:ind w:left="0" w:leftChars="0" w:firstLine="0" w:firstLineChars="0"/>
              <w:jc w:val="center"/>
              <w:rPr>
                <w:rFonts w:ascii="宋体" w:hAnsi="Times New Roman" w:eastAsia="宋体" w:cs="Times New Roman"/>
                <w:kern w:val="21"/>
                <w:sz w:val="18"/>
                <w:szCs w:val="18"/>
                <w:highlight w:val="none"/>
                <w:lang w:val="en-US" w:eastAsia="zh-CN" w:bidi="ar-SA"/>
              </w:rPr>
            </w:pPr>
            <w:r>
              <w:rPr>
                <w:rFonts w:hint="eastAsia"/>
                <w:sz w:val="18"/>
                <w:szCs w:val="18"/>
                <w:highlight w:val="none"/>
              </w:rPr>
              <w:t>联系人</w:t>
            </w:r>
          </w:p>
        </w:tc>
        <w:tc>
          <w:tcPr>
            <w:tcW w:w="3071" w:type="dxa"/>
            <w:gridSpan w:val="6"/>
            <w:vMerge w:val="restart"/>
            <w:vAlign w:val="center"/>
          </w:tcPr>
          <w:p>
            <w:pPr>
              <w:pStyle w:val="17"/>
              <w:numPr>
                <w:ilvl w:val="0"/>
                <w:numId w:val="0"/>
              </w:numPr>
              <w:ind w:left="0" w:leftChars="0" w:firstLine="0" w:firstLineChars="0"/>
              <w:jc w:val="center"/>
              <w:rPr>
                <w:rFonts w:hint="eastAsia"/>
                <w:sz w:val="18"/>
                <w:szCs w:val="18"/>
                <w:highlight w:val="none"/>
              </w:rPr>
            </w:pPr>
          </w:p>
        </w:tc>
        <w:tc>
          <w:tcPr>
            <w:tcW w:w="1724" w:type="dxa"/>
            <w:gridSpan w:val="5"/>
            <w:vAlign w:val="center"/>
          </w:tcPr>
          <w:p>
            <w:pPr>
              <w:pStyle w:val="17"/>
              <w:numPr>
                <w:ilvl w:val="0"/>
                <w:numId w:val="0"/>
              </w:numPr>
              <w:ind w:left="0" w:leftChars="0" w:firstLine="0" w:firstLineChars="0"/>
              <w:jc w:val="center"/>
              <w:rPr>
                <w:rFonts w:hint="eastAsia"/>
                <w:sz w:val="18"/>
                <w:szCs w:val="18"/>
                <w:highlight w:val="none"/>
              </w:rPr>
            </w:pPr>
            <w:r>
              <w:rPr>
                <w:rFonts w:hint="eastAsia"/>
                <w:sz w:val="18"/>
                <w:szCs w:val="18"/>
                <w:highlight w:val="none"/>
              </w:rPr>
              <w:t>电话</w:t>
            </w:r>
          </w:p>
        </w:tc>
        <w:tc>
          <w:tcPr>
            <w:tcW w:w="2341" w:type="dxa"/>
            <w:gridSpan w:val="5"/>
            <w:vAlign w:val="center"/>
          </w:tcPr>
          <w:p>
            <w:pPr>
              <w:pStyle w:val="17"/>
              <w:numPr>
                <w:ilvl w:val="0"/>
                <w:numId w:val="0"/>
              </w:numPr>
              <w:ind w:left="0" w:leftChars="0" w:firstLine="0" w:firstLineChars="0"/>
              <w:jc w:val="cente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Merge w:val="continue"/>
            <w:vAlign w:val="center"/>
          </w:tcPr>
          <w:p>
            <w:pPr>
              <w:pStyle w:val="17"/>
              <w:numPr>
                <w:ilvl w:val="0"/>
                <w:numId w:val="0"/>
              </w:numPr>
              <w:ind w:left="0" w:leftChars="0" w:firstLine="0" w:firstLineChars="0"/>
              <w:jc w:val="center"/>
              <w:rPr>
                <w:rFonts w:hint="eastAsia"/>
                <w:sz w:val="18"/>
                <w:szCs w:val="18"/>
                <w:highlight w:val="none"/>
              </w:rPr>
            </w:pPr>
          </w:p>
        </w:tc>
        <w:tc>
          <w:tcPr>
            <w:tcW w:w="3071" w:type="dxa"/>
            <w:gridSpan w:val="6"/>
            <w:vMerge w:val="continue"/>
            <w:vAlign w:val="center"/>
          </w:tcPr>
          <w:p>
            <w:pPr>
              <w:pStyle w:val="17"/>
              <w:numPr>
                <w:ilvl w:val="0"/>
                <w:numId w:val="0"/>
              </w:numPr>
              <w:ind w:left="0" w:leftChars="0" w:firstLine="0" w:firstLineChars="0"/>
              <w:jc w:val="center"/>
              <w:rPr>
                <w:rFonts w:hint="eastAsia"/>
                <w:sz w:val="18"/>
                <w:szCs w:val="18"/>
                <w:highlight w:val="none"/>
              </w:rPr>
            </w:pPr>
          </w:p>
        </w:tc>
        <w:tc>
          <w:tcPr>
            <w:tcW w:w="1724" w:type="dxa"/>
            <w:gridSpan w:val="5"/>
            <w:vAlign w:val="center"/>
          </w:tcPr>
          <w:p>
            <w:pPr>
              <w:pStyle w:val="17"/>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lang w:val="en-US" w:eastAsia="zh-CN"/>
              </w:rPr>
              <w:t>邮箱</w:t>
            </w:r>
          </w:p>
        </w:tc>
        <w:tc>
          <w:tcPr>
            <w:tcW w:w="2341" w:type="dxa"/>
            <w:gridSpan w:val="5"/>
            <w:vAlign w:val="center"/>
          </w:tcPr>
          <w:p>
            <w:pPr>
              <w:pStyle w:val="17"/>
              <w:numPr>
                <w:ilvl w:val="0"/>
                <w:numId w:val="0"/>
              </w:numPr>
              <w:ind w:left="0" w:leftChars="0" w:firstLine="0" w:firstLineChars="0"/>
              <w:jc w:val="cente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restart"/>
            <w:vAlign w:val="center"/>
          </w:tcPr>
          <w:p>
            <w:pPr>
              <w:pStyle w:val="17"/>
              <w:numPr>
                <w:ilvl w:val="0"/>
                <w:numId w:val="0"/>
              </w:numPr>
              <w:jc w:val="center"/>
              <w:rPr>
                <w:rFonts w:hint="default" w:eastAsia="宋体"/>
                <w:sz w:val="18"/>
                <w:szCs w:val="18"/>
                <w:highlight w:val="none"/>
                <w:lang w:val="en-US" w:eastAsia="zh-CN"/>
              </w:rPr>
            </w:pPr>
            <w:r>
              <w:rPr>
                <w:rFonts w:hint="eastAsia"/>
                <w:sz w:val="18"/>
                <w:szCs w:val="18"/>
                <w:highlight w:val="none"/>
                <w:lang w:eastAsia="zh-CN"/>
              </w:rPr>
              <w:t>产品信息</w:t>
            </w:r>
          </w:p>
        </w:tc>
        <w:tc>
          <w:tcPr>
            <w:tcW w:w="1400" w:type="dxa"/>
            <w:vAlign w:val="center"/>
          </w:tcPr>
          <w:p>
            <w:pPr>
              <w:pStyle w:val="17"/>
              <w:numPr>
                <w:ilvl w:val="0"/>
                <w:numId w:val="0"/>
              </w:numPr>
              <w:jc w:val="center"/>
              <w:rPr>
                <w:sz w:val="18"/>
                <w:szCs w:val="18"/>
                <w:highlight w:val="none"/>
              </w:rPr>
            </w:pPr>
            <w:r>
              <w:rPr>
                <w:rFonts w:hint="eastAsia"/>
                <w:sz w:val="18"/>
                <w:szCs w:val="18"/>
                <w:highlight w:val="none"/>
              </w:rPr>
              <w:t>数据统计周期</w:t>
            </w:r>
          </w:p>
        </w:tc>
        <w:tc>
          <w:tcPr>
            <w:tcW w:w="7136" w:type="dxa"/>
            <w:gridSpan w:val="16"/>
            <w:vAlign w:val="center"/>
          </w:tcPr>
          <w:p>
            <w:pPr>
              <w:pStyle w:val="17"/>
              <w:numPr>
                <w:ilvl w:val="0"/>
                <w:numId w:val="0"/>
              </w:numPr>
              <w:jc w:val="center"/>
              <w:rPr>
                <w:rFonts w:hint="eastAsia" w:eastAsia="宋体"/>
                <w:sz w:val="18"/>
                <w:szCs w:val="18"/>
                <w:highlight w:val="none"/>
                <w:lang w:eastAsia="zh-CN"/>
              </w:rPr>
            </w:pPr>
            <w:r>
              <w:rPr>
                <w:rFonts w:hint="eastAsia"/>
                <w:sz w:val="18"/>
                <w:szCs w:val="18"/>
                <w:highlight w:val="none"/>
                <w:u w:val="single"/>
                <w:lang w:val="en-US" w:eastAsia="zh-CN"/>
              </w:rPr>
              <w:t xml:space="preserve">    年  月  日  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ind w:left="0" w:leftChars="0" w:firstLine="0" w:firstLineChars="0"/>
              <w:jc w:val="center"/>
              <w:rPr>
                <w:rFonts w:hint="default" w:eastAsia="宋体"/>
                <w:sz w:val="18"/>
                <w:szCs w:val="18"/>
                <w:highlight w:val="none"/>
                <w:lang w:val="en-US" w:eastAsia="zh-CN"/>
              </w:rPr>
            </w:pPr>
            <w:r>
              <w:rPr>
                <w:rFonts w:hint="eastAsia"/>
                <w:sz w:val="18"/>
                <w:szCs w:val="18"/>
                <w:highlight w:val="none"/>
                <w:lang w:eastAsia="zh-CN"/>
              </w:rPr>
              <w:t>产品名称</w:t>
            </w:r>
          </w:p>
        </w:tc>
        <w:tc>
          <w:tcPr>
            <w:tcW w:w="7136" w:type="dxa"/>
            <w:gridSpan w:val="16"/>
            <w:vAlign w:val="center"/>
          </w:tcPr>
          <w:p>
            <w:pPr>
              <w:pStyle w:val="17"/>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规格型号</w:t>
            </w:r>
          </w:p>
        </w:tc>
        <w:tc>
          <w:tcPr>
            <w:tcW w:w="1188" w:type="dxa"/>
            <w:gridSpan w:val="2"/>
            <w:vAlign w:val="center"/>
          </w:tcPr>
          <w:p>
            <w:pPr>
              <w:pStyle w:val="17"/>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标称功率Wp</w:t>
            </w:r>
          </w:p>
        </w:tc>
        <w:tc>
          <w:tcPr>
            <w:tcW w:w="1188" w:type="dxa"/>
            <w:gridSpan w:val="2"/>
            <w:vAlign w:val="center"/>
          </w:tcPr>
          <w:p>
            <w:pPr>
              <w:pStyle w:val="17"/>
              <w:numPr>
                <w:ilvl w:val="0"/>
                <w:numId w:val="0"/>
              </w:numPr>
              <w:ind w:left="0" w:leftChars="0" w:firstLine="0" w:firstLineChars="0"/>
              <w:rPr>
                <w:rFonts w:hint="eastAsia"/>
                <w:sz w:val="18"/>
                <w:szCs w:val="18"/>
                <w:highlight w:val="none"/>
                <w:lang w:eastAsia="zh-CN"/>
              </w:rPr>
            </w:pPr>
          </w:p>
        </w:tc>
        <w:tc>
          <w:tcPr>
            <w:tcW w:w="1188" w:type="dxa"/>
            <w:gridSpan w:val="3"/>
            <w:vAlign w:val="center"/>
          </w:tcPr>
          <w:p>
            <w:pPr>
              <w:pStyle w:val="17"/>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重量</w:t>
            </w:r>
          </w:p>
        </w:tc>
        <w:tc>
          <w:tcPr>
            <w:tcW w:w="1188" w:type="dxa"/>
            <w:gridSpan w:val="3"/>
            <w:vAlign w:val="center"/>
          </w:tcPr>
          <w:p>
            <w:pPr>
              <w:pStyle w:val="17"/>
              <w:numPr>
                <w:ilvl w:val="0"/>
                <w:numId w:val="0"/>
              </w:numPr>
              <w:ind w:left="0" w:leftChars="0" w:firstLine="0" w:firstLineChars="0"/>
              <w:rPr>
                <w:rFonts w:hint="eastAsia"/>
                <w:sz w:val="18"/>
                <w:szCs w:val="18"/>
                <w:highlight w:val="none"/>
                <w:lang w:eastAsia="zh-CN"/>
              </w:rPr>
            </w:pPr>
          </w:p>
        </w:tc>
        <w:tc>
          <w:tcPr>
            <w:tcW w:w="1188" w:type="dxa"/>
            <w:gridSpan w:val="4"/>
            <w:vAlign w:val="center"/>
          </w:tcPr>
          <w:p>
            <w:pPr>
              <w:pStyle w:val="17"/>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尺寸</w:t>
            </w:r>
          </w:p>
        </w:tc>
        <w:tc>
          <w:tcPr>
            <w:tcW w:w="1196" w:type="dxa"/>
            <w:gridSpan w:val="2"/>
            <w:vAlign w:val="center"/>
          </w:tcPr>
          <w:p>
            <w:pPr>
              <w:pStyle w:val="17"/>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产品示意图</w:t>
            </w:r>
          </w:p>
        </w:tc>
        <w:tc>
          <w:tcPr>
            <w:tcW w:w="7136" w:type="dxa"/>
            <w:gridSpan w:val="16"/>
            <w:vAlign w:val="center"/>
          </w:tcPr>
          <w:p>
            <w:pPr>
              <w:pStyle w:val="17"/>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3" w:type="dxa"/>
            <w:vMerge w:val="continue"/>
            <w:vAlign w:val="center"/>
          </w:tcPr>
          <w:p>
            <w:pPr>
              <w:pStyle w:val="17"/>
              <w:numPr>
                <w:ilvl w:val="0"/>
                <w:numId w:val="0"/>
              </w:numPr>
              <w:jc w:val="center"/>
              <w:rPr>
                <w:sz w:val="18"/>
                <w:szCs w:val="18"/>
                <w:highlight w:val="none"/>
              </w:rPr>
            </w:pPr>
          </w:p>
        </w:tc>
        <w:tc>
          <w:tcPr>
            <w:tcW w:w="1400" w:type="dxa"/>
            <w:vAlign w:val="center"/>
          </w:tcPr>
          <w:p>
            <w:pPr>
              <w:pStyle w:val="17"/>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产品工艺流程图</w:t>
            </w:r>
          </w:p>
        </w:tc>
        <w:tc>
          <w:tcPr>
            <w:tcW w:w="7136" w:type="dxa"/>
            <w:gridSpan w:val="16"/>
            <w:vAlign w:val="center"/>
          </w:tcPr>
          <w:p>
            <w:pPr>
              <w:pStyle w:val="17"/>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539" w:type="dxa"/>
            <w:gridSpan w:val="18"/>
            <w:vAlign w:val="center"/>
          </w:tcPr>
          <w:p>
            <w:pPr>
              <w:pStyle w:val="17"/>
              <w:numPr>
                <w:ilvl w:val="0"/>
                <w:numId w:val="0"/>
              </w:numPr>
              <w:jc w:val="center"/>
              <w:rPr>
                <w:rFonts w:hint="eastAsia"/>
                <w:sz w:val="18"/>
                <w:szCs w:val="18"/>
                <w:highlight w:val="none"/>
              </w:rPr>
            </w:pPr>
            <w:r>
              <w:rPr>
                <w:rFonts w:hint="eastAsia"/>
                <w:sz w:val="18"/>
                <w:szCs w:val="18"/>
                <w:highlight w:val="none"/>
                <w:lang w:val="en-US" w:eastAsia="zh-CN"/>
              </w:rPr>
              <w:t>生产 1kW组件产品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3"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项目</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消耗量</w:t>
            </w: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单位</w:t>
            </w:r>
          </w:p>
        </w:tc>
        <w:tc>
          <w:tcPr>
            <w:tcW w:w="1027" w:type="dxa"/>
            <w:gridSpan w:val="2"/>
            <w:vAlign w:val="center"/>
          </w:tcPr>
          <w:p>
            <w:pPr>
              <w:pStyle w:val="17"/>
              <w:numPr>
                <w:ilvl w:val="0"/>
                <w:numId w:val="0"/>
              </w:numPr>
              <w:jc w:val="center"/>
              <w:rPr>
                <w:rFonts w:hint="default" w:eastAsia="宋体"/>
                <w:sz w:val="18"/>
                <w:szCs w:val="18"/>
                <w:highlight w:val="none"/>
                <w:lang w:val="en-US" w:eastAsia="zh-CN"/>
              </w:rPr>
            </w:pPr>
            <w:r>
              <w:rPr>
                <w:rFonts w:hint="default" w:eastAsia="宋体"/>
                <w:sz w:val="18"/>
                <w:szCs w:val="18"/>
                <w:highlight w:val="none"/>
                <w:lang w:val="en-US" w:eastAsia="zh-CN"/>
              </w:rPr>
              <w:t>总重量</w:t>
            </w:r>
          </w:p>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kg</w:t>
            </w: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材料成分</w:t>
            </w:r>
            <w:r>
              <w:rPr>
                <w:rFonts w:hint="eastAsia"/>
                <w:sz w:val="18"/>
                <w:szCs w:val="18"/>
                <w:highlight w:val="none"/>
                <w:lang w:val="en-US" w:eastAsia="zh-CN"/>
              </w:rPr>
              <w:t>及比例</w:t>
            </w: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运输方式</w:t>
            </w:r>
          </w:p>
        </w:tc>
        <w:tc>
          <w:tcPr>
            <w:tcW w:w="1028" w:type="dxa"/>
            <w:gridSpan w:val="3"/>
            <w:vAlign w:val="center"/>
          </w:tcPr>
          <w:p>
            <w:pPr>
              <w:pStyle w:val="17"/>
              <w:numPr>
                <w:ilvl w:val="0"/>
                <w:numId w:val="0"/>
              </w:numPr>
              <w:jc w:val="center"/>
              <w:rPr>
                <w:sz w:val="18"/>
                <w:szCs w:val="18"/>
                <w:highlight w:val="none"/>
              </w:rPr>
            </w:pPr>
            <w:r>
              <w:rPr>
                <w:rFonts w:hint="eastAsia"/>
                <w:sz w:val="18"/>
                <w:szCs w:val="18"/>
                <w:highlight w:val="none"/>
              </w:rPr>
              <w:t>运输距离</w:t>
            </w:r>
          </w:p>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km</w:t>
            </w: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val="en-US" w:eastAsia="zh-CN"/>
              </w:rPr>
              <w:t>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restart"/>
            <w:vAlign w:val="center"/>
          </w:tcPr>
          <w:p>
            <w:pPr>
              <w:pStyle w:val="17"/>
              <w:numPr>
                <w:ilvl w:val="0"/>
                <w:numId w:val="0"/>
              </w:numPr>
              <w:rPr>
                <w:rFonts w:hint="eastAsia"/>
                <w:sz w:val="18"/>
                <w:szCs w:val="18"/>
                <w:highlight w:val="none"/>
              </w:rPr>
            </w:pPr>
            <w:r>
              <w:rPr>
                <w:rFonts w:hint="eastAsia"/>
                <w:sz w:val="18"/>
                <w:szCs w:val="18"/>
                <w:highlight w:val="none"/>
              </w:rPr>
              <w:t>资源消耗</w:t>
            </w: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电池片</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片</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玻璃</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val="en-US" w:eastAsia="zh-CN"/>
              </w:rPr>
              <w:t>m</w:t>
            </w:r>
            <w:r>
              <w:rPr>
                <w:rFonts w:hint="eastAsia"/>
                <w:sz w:val="18"/>
                <w:szCs w:val="18"/>
                <w:highlight w:val="none"/>
                <w:vertAlign w:val="superscript"/>
                <w:lang w:val="en-US" w:eastAsia="zh-CN"/>
              </w:rPr>
              <w:t>2</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EVA</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m</w:t>
            </w:r>
            <w:r>
              <w:rPr>
                <w:rFonts w:hint="eastAsia" w:ascii="宋体" w:hAnsi="宋体" w:eastAsia="宋体" w:cs="宋体"/>
                <w:sz w:val="18"/>
                <w:szCs w:val="18"/>
                <w:highlight w:val="none"/>
                <w:vertAlign w:val="superscript"/>
                <w:lang w:val="en-US" w:eastAsia="zh-CN"/>
              </w:rPr>
              <w:t>2</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POE</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m</w:t>
            </w:r>
            <w:r>
              <w:rPr>
                <w:rFonts w:hint="eastAsia" w:ascii="宋体" w:hAnsi="宋体" w:eastAsia="宋体" w:cs="宋体"/>
                <w:sz w:val="18"/>
                <w:szCs w:val="18"/>
                <w:highlight w:val="none"/>
                <w:vertAlign w:val="superscript"/>
                <w:lang w:val="en-US" w:eastAsia="zh-CN"/>
              </w:rPr>
              <w:t>2</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接线盒</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焊带</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边框</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包材（托盘</w:t>
            </w:r>
            <w:r>
              <w:rPr>
                <w:rFonts w:hint="eastAsia"/>
                <w:sz w:val="18"/>
                <w:szCs w:val="18"/>
                <w:highlight w:val="none"/>
                <w:lang w:eastAsia="zh-CN"/>
              </w:rPr>
              <w:t>、</w:t>
            </w:r>
            <w:r>
              <w:rPr>
                <w:rFonts w:hint="eastAsia"/>
                <w:sz w:val="18"/>
                <w:szCs w:val="18"/>
                <w:highlight w:val="none"/>
              </w:rPr>
              <w:t>包装箱</w:t>
            </w:r>
            <w:r>
              <w:rPr>
                <w:rFonts w:hint="eastAsia"/>
                <w:sz w:val="18"/>
                <w:szCs w:val="18"/>
                <w:highlight w:val="none"/>
                <w:lang w:eastAsia="zh-CN"/>
              </w:rPr>
              <w:t>、</w:t>
            </w:r>
            <w:r>
              <w:rPr>
                <w:rFonts w:hint="eastAsia"/>
                <w:sz w:val="18"/>
                <w:szCs w:val="18"/>
                <w:highlight w:val="none"/>
              </w:rPr>
              <w:t>打包带</w:t>
            </w:r>
            <w:r>
              <w:rPr>
                <w:rFonts w:hint="eastAsia"/>
                <w:sz w:val="18"/>
                <w:szCs w:val="18"/>
                <w:highlight w:val="none"/>
                <w:lang w:eastAsia="zh-CN"/>
              </w:rPr>
              <w:t>、</w:t>
            </w:r>
            <w:r>
              <w:rPr>
                <w:rFonts w:hint="eastAsia"/>
                <w:sz w:val="18"/>
                <w:szCs w:val="18"/>
                <w:highlight w:val="none"/>
              </w:rPr>
              <w:t>缠绕膜等）</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灌封胶</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密封胶</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助焊剂</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水</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t</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restart"/>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能源消耗</w:t>
            </w: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电</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kWh</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restart"/>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温室气体排放</w:t>
            </w: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二氧化碳</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t</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ind w:left="0" w:leftChars="0" w:firstLine="0" w:firstLineChars="0"/>
              <w:jc w:val="cente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sz w:val="18"/>
                <w:szCs w:val="18"/>
                <w:highlight w:val="none"/>
              </w:rPr>
            </w:pPr>
            <w:r>
              <w:rPr>
                <w:rFonts w:hint="eastAsia"/>
                <w:sz w:val="18"/>
                <w:szCs w:val="18"/>
                <w:highlight w:val="none"/>
              </w:rPr>
              <w:t>...</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sz w:val="18"/>
                <w:szCs w:val="18"/>
                <w:highlight w:val="none"/>
              </w:rPr>
            </w:pP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28"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42"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3" w:type="dxa"/>
            <w:vMerge w:val="restart"/>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废弃物</w:t>
            </w:r>
          </w:p>
        </w:tc>
        <w:tc>
          <w:tcPr>
            <w:tcW w:w="1400" w:type="dxa"/>
            <w:vAlign w:val="center"/>
          </w:tcPr>
          <w:p>
            <w:pPr>
              <w:pStyle w:val="17"/>
              <w:numPr>
                <w:ilvl w:val="0"/>
                <w:numId w:val="0"/>
              </w:numPr>
              <w:ind w:left="0" w:leftChars="0" w:firstLine="0" w:firstLineChars="0"/>
              <w:jc w:val="center"/>
              <w:rPr>
                <w:rFonts w:hint="eastAsia" w:cs="Times New Roman"/>
                <w:kern w:val="21"/>
                <w:sz w:val="18"/>
                <w:szCs w:val="18"/>
                <w:highlight w:val="none"/>
                <w:lang w:val="en-US" w:eastAsia="zh-CN" w:bidi="ar-SA"/>
              </w:rPr>
            </w:pPr>
            <w:r>
              <w:rPr>
                <w:rFonts w:hint="eastAsia"/>
                <w:sz w:val="18"/>
                <w:szCs w:val="18"/>
                <w:highlight w:val="none"/>
                <w:lang w:eastAsia="zh-CN"/>
              </w:rPr>
              <w:t>项目</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消耗量</w:t>
            </w:r>
          </w:p>
        </w:tc>
        <w:tc>
          <w:tcPr>
            <w:tcW w:w="1032" w:type="dxa"/>
            <w:gridSpan w:val="2"/>
            <w:vAlign w:val="center"/>
          </w:tcPr>
          <w:p>
            <w:pPr>
              <w:pStyle w:val="17"/>
              <w:numPr>
                <w:ilvl w:val="0"/>
                <w:numId w:val="0"/>
              </w:numPr>
              <w:ind w:left="0" w:leftChars="0" w:firstLine="0" w:firstLineChars="0"/>
              <w:jc w:val="center"/>
              <w:rPr>
                <w:rFonts w:hint="eastAsia"/>
                <w:sz w:val="18"/>
                <w:szCs w:val="18"/>
                <w:highlight w:val="none"/>
              </w:rPr>
            </w:pPr>
            <w:r>
              <w:rPr>
                <w:rFonts w:hint="eastAsia"/>
                <w:sz w:val="18"/>
                <w:szCs w:val="18"/>
                <w:highlight w:val="none"/>
              </w:rPr>
              <w:t>单位</w:t>
            </w:r>
          </w:p>
        </w:tc>
        <w:tc>
          <w:tcPr>
            <w:tcW w:w="1027" w:type="dxa"/>
            <w:gridSpan w:val="2"/>
            <w:vAlign w:val="center"/>
          </w:tcPr>
          <w:p>
            <w:pPr>
              <w:pStyle w:val="17"/>
              <w:numPr>
                <w:ilvl w:val="0"/>
                <w:numId w:val="0"/>
              </w:numPr>
              <w:jc w:val="center"/>
              <w:rPr>
                <w:rFonts w:hint="default" w:eastAsia="宋体"/>
                <w:sz w:val="18"/>
                <w:szCs w:val="18"/>
                <w:highlight w:val="none"/>
                <w:lang w:val="en-US" w:eastAsia="zh-CN"/>
              </w:rPr>
            </w:pPr>
            <w:r>
              <w:rPr>
                <w:rFonts w:hint="default" w:eastAsia="宋体"/>
                <w:sz w:val="18"/>
                <w:szCs w:val="18"/>
                <w:highlight w:val="none"/>
                <w:lang w:val="en-US" w:eastAsia="zh-CN"/>
              </w:rPr>
              <w:t>总重量</w:t>
            </w:r>
          </w:p>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kg</w:t>
            </w:r>
          </w:p>
        </w:tc>
        <w:tc>
          <w:tcPr>
            <w:tcW w:w="1372"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运输方式</w:t>
            </w:r>
          </w:p>
        </w:tc>
        <w:tc>
          <w:tcPr>
            <w:tcW w:w="1372" w:type="dxa"/>
            <w:gridSpan w:val="4"/>
            <w:vAlign w:val="center"/>
          </w:tcPr>
          <w:p>
            <w:pPr>
              <w:pStyle w:val="17"/>
              <w:numPr>
                <w:ilvl w:val="0"/>
                <w:numId w:val="0"/>
              </w:numPr>
              <w:jc w:val="center"/>
              <w:rPr>
                <w:sz w:val="18"/>
                <w:szCs w:val="18"/>
                <w:highlight w:val="none"/>
              </w:rPr>
            </w:pPr>
            <w:r>
              <w:rPr>
                <w:rFonts w:hint="eastAsia"/>
                <w:sz w:val="18"/>
                <w:szCs w:val="18"/>
                <w:highlight w:val="none"/>
              </w:rPr>
              <w:t>运输距离</w:t>
            </w:r>
          </w:p>
          <w:p>
            <w:pPr>
              <w:pStyle w:val="17"/>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rPr>
              <w:t>km</w:t>
            </w:r>
          </w:p>
        </w:tc>
        <w:tc>
          <w:tcPr>
            <w:tcW w:w="1382" w:type="dxa"/>
            <w:gridSpan w:val="3"/>
            <w:vAlign w:val="center"/>
          </w:tcPr>
          <w:p>
            <w:pPr>
              <w:pStyle w:val="17"/>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lang w:val="en-US" w:eastAsia="zh-CN"/>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3" w:type="dxa"/>
            <w:vMerge w:val="continue"/>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cs="Times New Roman"/>
                <w:kern w:val="21"/>
                <w:sz w:val="18"/>
                <w:szCs w:val="18"/>
                <w:highlight w:val="none"/>
                <w:lang w:val="en-US" w:eastAsia="zh-CN" w:bidi="ar-SA"/>
              </w:rPr>
              <w:t>废弃包装</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72"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72"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82"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Merge w:val="continue"/>
            <w:vAlign w:val="center"/>
          </w:tcPr>
          <w:p>
            <w:pPr>
              <w:pStyle w:val="17"/>
              <w:numPr>
                <w:ilvl w:val="0"/>
                <w:numId w:val="0"/>
              </w:numPr>
              <w:ind w:left="0" w:leftChars="0" w:firstLine="0" w:firstLineChars="0"/>
              <w:jc w:val="center"/>
              <w:rPr>
                <w:rFonts w:hint="eastAsia"/>
                <w:sz w:val="18"/>
                <w:szCs w:val="18"/>
                <w:highlight w:val="none"/>
              </w:rPr>
            </w:pPr>
          </w:p>
        </w:tc>
        <w:tc>
          <w:tcPr>
            <w:tcW w:w="1400"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951" w:type="dxa"/>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032" w:type="dxa"/>
            <w:gridSpan w:val="2"/>
            <w:vAlign w:val="center"/>
          </w:tcPr>
          <w:p>
            <w:pPr>
              <w:pStyle w:val="17"/>
              <w:numPr>
                <w:ilvl w:val="0"/>
                <w:numId w:val="0"/>
              </w:numPr>
              <w:ind w:left="0" w:leftChars="0" w:firstLine="0" w:firstLineChars="0"/>
              <w:jc w:val="center"/>
              <w:rPr>
                <w:rFonts w:hint="eastAsia"/>
                <w:sz w:val="18"/>
                <w:szCs w:val="18"/>
                <w:highlight w:val="none"/>
              </w:rPr>
            </w:pPr>
          </w:p>
        </w:tc>
        <w:tc>
          <w:tcPr>
            <w:tcW w:w="1027" w:type="dxa"/>
            <w:gridSpan w:val="2"/>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72"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72" w:type="dxa"/>
            <w:gridSpan w:val="4"/>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1382" w:type="dxa"/>
            <w:gridSpan w:val="3"/>
            <w:vAlign w:val="center"/>
          </w:tcPr>
          <w:p>
            <w:pPr>
              <w:pStyle w:val="17"/>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39" w:type="dxa"/>
            <w:gridSpan w:val="18"/>
            <w:vAlign w:val="center"/>
          </w:tcPr>
          <w:p>
            <w:pPr>
              <w:pStyle w:val="20"/>
              <w:rPr>
                <w:rFonts w:hint="eastAsia" w:ascii="宋体" w:hAnsi="Times New Roman" w:eastAsia="宋体" w:cs="Times New Roman"/>
                <w:kern w:val="21"/>
                <w:sz w:val="18"/>
                <w:szCs w:val="18"/>
                <w:highlight w:val="none"/>
                <w:lang w:val="en-US" w:eastAsia="zh-CN" w:bidi="ar-SA"/>
              </w:rPr>
            </w:pPr>
            <w:r>
              <w:rPr>
                <w:rFonts w:hint="eastAsia"/>
                <w:highlight w:val="none"/>
              </w:rPr>
              <w:t>消耗的资源、能源以及温室气体排放等项目以厂家实际生产情况为准</w:t>
            </w:r>
          </w:p>
        </w:tc>
      </w:tr>
    </w:tbl>
    <w:p>
      <w:pPr>
        <w:pStyle w:val="12"/>
        <w:rPr>
          <w:rFonts w:hint="eastAsia" w:eastAsia="宋体"/>
          <w:color w:val="auto"/>
          <w:lang w:eastAsia="zh-CN"/>
        </w:rPr>
      </w:pPr>
    </w:p>
    <w:p>
      <w:pPr>
        <w:pStyle w:val="12"/>
        <w:rPr>
          <w:rFonts w:hint="eastAsia" w:eastAsia="宋体"/>
          <w:color w:val="auto"/>
          <w:lang w:eastAsia="zh-CN"/>
        </w:rPr>
      </w:pPr>
    </w:p>
    <w:p>
      <w:pPr>
        <w:pStyle w:val="12"/>
        <w:rPr>
          <w:rFonts w:hint="default" w:eastAsia="宋体"/>
          <w:color w:val="auto"/>
          <w:lang w:val="en-US" w:eastAsia="zh-CN"/>
        </w:rPr>
      </w:pPr>
      <w:r>
        <w:rPr>
          <w:rFonts w:hint="eastAsia"/>
          <w:color w:val="auto"/>
          <w:lang w:eastAsia="zh-CN"/>
        </w:rPr>
        <w:t>根据收集的数据类型，确定</w:t>
      </w:r>
      <w:r>
        <w:rPr>
          <w:rFonts w:hint="eastAsia"/>
          <w:color w:val="auto"/>
        </w:rPr>
        <w:t>以功能单位为基准的温室气体排放总量计算公式见</w:t>
      </w:r>
      <w:r>
        <w:rPr>
          <w:rFonts w:hint="eastAsia"/>
          <w:color w:val="auto"/>
          <w:lang w:eastAsia="zh-CN"/>
        </w:rPr>
        <w:t>公式（</w:t>
      </w:r>
      <w:r>
        <w:rPr>
          <w:rFonts w:hint="eastAsia"/>
          <w:color w:val="auto"/>
          <w:lang w:val="en-US" w:eastAsia="zh-CN"/>
        </w:rPr>
        <w:t>1</w:t>
      </w:r>
      <w:r>
        <w:rPr>
          <w:rFonts w:hint="eastAsia"/>
          <w:color w:val="auto"/>
          <w:lang w:eastAsia="zh-CN"/>
        </w:rPr>
        <w:t>）</w:t>
      </w:r>
    </w:p>
    <w:p>
      <w:pPr>
        <w:pStyle w:val="13"/>
        <w:rPr>
          <w:rFonts w:hint="default"/>
          <w:lang w:val="en-US" w:eastAsia="zh-CN"/>
        </w:rPr>
      </w:pPr>
      <w:r>
        <w:rPr>
          <w:rFonts w:hint="eastAsia"/>
          <w:lang w:val="en-US" w:eastAsia="zh-CN"/>
        </w:rPr>
        <w:tab/>
      </w:r>
      <w:r>
        <w:rPr>
          <w:rFonts w:hint="eastAsia"/>
          <w:position w:val="-14"/>
          <w:lang w:eastAsia="zh-CN"/>
        </w:rPr>
        <w:object>
          <v:shape id="_x0000_i1025" o:spt="75" type="#_x0000_t75" style="height:20pt;width:114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lang w:val="en-US" w:eastAsia="zh-CN"/>
        </w:rPr>
        <w:tab/>
      </w:r>
      <w:r>
        <w:rPr>
          <w:rFonts w:hint="eastAsia"/>
          <w:lang w:val="en-US" w:eastAsia="zh-CN"/>
        </w:rPr>
        <w:t>（1）</w:t>
      </w:r>
    </w:p>
    <w:p>
      <w:pPr>
        <w:pStyle w:val="15"/>
        <w:numPr>
          <w:ilvl w:val="0"/>
          <w:numId w:val="0"/>
        </w:numPr>
        <w:ind w:firstLine="420" w:firstLineChars="200"/>
      </w:pPr>
      <w:r>
        <w:rPr>
          <w:rFonts w:hint="eastAsia"/>
        </w:rPr>
        <w:t>式中：</w:t>
      </w:r>
    </w:p>
    <w:p>
      <w:pPr>
        <w:pStyle w:val="15"/>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F</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功能单位</w:t>
      </w:r>
      <w:r>
        <w:rPr>
          <w:rFonts w:hint="eastAsia" w:ascii="宋体" w:hAnsi="宋体" w:eastAsia="宋体" w:cs="宋体"/>
        </w:rPr>
        <w:t>；</w:t>
      </w:r>
    </w:p>
    <w:p>
      <w:pPr>
        <w:pStyle w:val="15"/>
        <w:numPr>
          <w:ilvl w:val="0"/>
          <w:numId w:val="0"/>
        </w:numPr>
        <w:ind w:firstLine="420" w:firstLineChars="200"/>
        <w:rPr>
          <w:rFonts w:hint="eastAsia" w:ascii="宋体" w:hAnsi="宋体" w:eastAsia="宋体" w:cs="宋体"/>
        </w:rPr>
      </w:pPr>
      <w:r>
        <w:rPr>
          <w:rFonts w:hint="eastAsia" w:ascii="宋体" w:hAnsi="宋体" w:eastAsia="宋体" w:cs="宋体"/>
          <w:lang w:val="en-US" w:eastAsia="zh-CN"/>
        </w:rPr>
        <w:t>S</w:t>
      </w:r>
      <w:r>
        <w:rPr>
          <w:rFonts w:hint="eastAsia" w:ascii="宋体" w:hAnsi="宋体" w:eastAsia="宋体" w:cs="宋体"/>
          <w:vertAlign w:val="subscript"/>
          <w:lang w:val="en-US" w:eastAsia="zh-CN"/>
        </w:rPr>
        <w:t>F</w:t>
      </w:r>
      <w:r>
        <w:rPr>
          <w:rFonts w:hint="eastAsia" w:hAnsi="宋体" w:cs="宋体"/>
          <w:vertAlign w:val="subscript"/>
          <w:lang w:val="en-US" w:eastAsia="zh-CN"/>
        </w:rPr>
        <w:t xml:space="preserve">     </w:t>
      </w:r>
      <w:r>
        <w:rPr>
          <w:rFonts w:ascii="Times New Roman"/>
        </w:rPr>
        <w:t>——</w:t>
      </w:r>
      <w:r>
        <w:rPr>
          <w:rFonts w:hint="eastAsia" w:ascii="宋体" w:hAnsi="宋体" w:eastAsia="宋体" w:cs="宋体"/>
          <w:lang w:eastAsia="zh-CN"/>
        </w:rPr>
        <w:t>以功能单位</w:t>
      </w:r>
      <w:r>
        <w:rPr>
          <w:rFonts w:hint="eastAsia" w:ascii="宋体" w:hAnsi="宋体" w:eastAsia="宋体" w:cs="宋体"/>
          <w:lang w:val="en-US" w:eastAsia="zh-CN"/>
        </w:rPr>
        <w:t>F为基准的温室气体排放总量</w:t>
      </w:r>
      <w:r>
        <w:rPr>
          <w:rFonts w:hint="eastAsia" w:ascii="宋体" w:hAnsi="宋体" w:eastAsia="宋体" w:cs="宋体"/>
        </w:rPr>
        <w:t>；</w:t>
      </w:r>
    </w:p>
    <w:p>
      <w:pPr>
        <w:pStyle w:val="15"/>
        <w:numPr>
          <w:ilvl w:val="0"/>
          <w:numId w:val="0"/>
        </w:numPr>
        <w:ind w:firstLine="420" w:firstLineChars="200"/>
        <w:rPr>
          <w:rFonts w:hint="eastAsia" w:ascii="宋体" w:hAnsi="宋体" w:eastAsia="宋体" w:cs="宋体"/>
          <w:lang w:eastAsia="zh-CN"/>
        </w:rPr>
      </w:pPr>
      <w:r>
        <w:rPr>
          <w:rFonts w:hint="eastAsia" w:ascii="宋体" w:hAnsi="宋体" w:eastAsia="宋体" w:cs="宋体"/>
          <w:lang w:val="en-US" w:eastAsia="zh-CN"/>
        </w:rPr>
        <w:t>i</w:t>
      </w:r>
      <w:r>
        <w:rPr>
          <w:rFonts w:hint="eastAsia" w:hAnsi="宋体" w:cs="宋体"/>
          <w:lang w:val="en-US" w:eastAsia="zh-CN"/>
        </w:rPr>
        <w:t xml:space="preserve">   </w:t>
      </w:r>
      <w:r>
        <w:rPr>
          <w:rFonts w:ascii="Times New Roman"/>
        </w:rPr>
        <w:t>——</w:t>
      </w:r>
      <w:r>
        <w:rPr>
          <w:rFonts w:hint="eastAsia" w:ascii="宋体" w:hAnsi="宋体" w:eastAsia="宋体" w:cs="宋体"/>
          <w:lang w:eastAsia="zh-CN"/>
        </w:rPr>
        <w:t>单元过程；</w:t>
      </w:r>
    </w:p>
    <w:p>
      <w:pPr>
        <w:pStyle w:val="15"/>
        <w:numPr>
          <w:ilvl w:val="0"/>
          <w:numId w:val="0"/>
        </w:numPr>
        <w:ind w:firstLine="420" w:firstLineChars="200"/>
        <w:rPr>
          <w:rFonts w:hAnsi="宋体" w:cs="宋体"/>
          <w:highlight w:val="none"/>
        </w:rPr>
      </w:pPr>
      <w:r>
        <w:rPr>
          <w:rFonts w:hint="eastAsia" w:hAnsi="宋体" w:cs="宋体"/>
          <w:highlight w:val="none"/>
        </w:rPr>
        <w:t>j</w:t>
      </w:r>
      <w:r>
        <w:rPr>
          <w:rFonts w:hint="eastAsia" w:hAnsi="宋体" w:cs="宋体"/>
          <w:highlight w:val="none"/>
          <w:vertAlign w:val="subscript"/>
        </w:rPr>
        <w:t xml:space="preserve">      </w:t>
      </w:r>
      <w:r>
        <w:rPr>
          <w:rFonts w:ascii="Times New Roman"/>
          <w:highlight w:val="none"/>
        </w:rPr>
        <w:t>——</w:t>
      </w:r>
      <w:r>
        <w:rPr>
          <w:rFonts w:hint="eastAsia" w:hAnsi="宋体" w:cs="宋体"/>
          <w:highlight w:val="none"/>
        </w:rPr>
        <w:t>温室气体种类</w:t>
      </w:r>
      <w:r>
        <w:rPr>
          <w:rFonts w:hint="eastAsia" w:hAnsi="宋体" w:cs="宋体"/>
          <w:highlight w:val="none"/>
          <w:lang w:eastAsia="zh-CN"/>
        </w:rPr>
        <w:t>，</w:t>
      </w:r>
      <w:r>
        <w:rPr>
          <w:rFonts w:hint="eastAsia" w:hAnsi="宋体" w:cs="宋体"/>
          <w:highlight w:val="none"/>
        </w:rPr>
        <w:t>如二氧化碳(CO</w:t>
      </w:r>
      <w:r>
        <w:rPr>
          <w:rFonts w:hint="eastAsia" w:hAnsi="宋体" w:cs="宋体"/>
          <w:highlight w:val="none"/>
          <w:vertAlign w:val="subscript"/>
        </w:rPr>
        <w:t>2</w:t>
      </w:r>
      <w:r>
        <w:rPr>
          <w:rFonts w:hint="eastAsia" w:hAnsi="宋体" w:cs="宋体"/>
          <w:highlight w:val="none"/>
        </w:rPr>
        <w:t>)、</w:t>
      </w:r>
      <w:r>
        <w:rPr>
          <w:rFonts w:hint="eastAsia" w:hAnsi="宋体" w:cs="宋体"/>
          <w:highlight w:val="none"/>
          <w:lang w:eastAsia="zh-CN"/>
        </w:rPr>
        <w:t>甲烷</w:t>
      </w:r>
      <w:r>
        <w:rPr>
          <w:rFonts w:hint="eastAsia" w:hAnsi="宋体" w:cs="宋体"/>
          <w:highlight w:val="none"/>
        </w:rPr>
        <w:t>(CH</w:t>
      </w:r>
      <w:r>
        <w:rPr>
          <w:rFonts w:hint="eastAsia" w:hAnsi="宋体" w:cs="宋体"/>
          <w:highlight w:val="none"/>
          <w:vertAlign w:val="subscript"/>
        </w:rPr>
        <w:t>4</w:t>
      </w:r>
      <w:r>
        <w:rPr>
          <w:rFonts w:hint="eastAsia" w:hAnsi="宋体" w:cs="宋体"/>
          <w:highlight w:val="none"/>
        </w:rPr>
        <w:t>)、氧化亚氮(N</w:t>
      </w:r>
      <w:r>
        <w:rPr>
          <w:rFonts w:hint="eastAsia" w:hAnsi="宋体" w:cs="宋体"/>
          <w:highlight w:val="none"/>
          <w:vertAlign w:val="subscript"/>
        </w:rPr>
        <w:t>2</w:t>
      </w:r>
      <w:r>
        <w:rPr>
          <w:rFonts w:hint="eastAsia" w:hAnsi="宋体" w:cs="宋体"/>
          <w:highlight w:val="none"/>
        </w:rPr>
        <w:t>0)等；</w:t>
      </w:r>
    </w:p>
    <w:p>
      <w:pPr>
        <w:pStyle w:val="15"/>
        <w:numPr>
          <w:ilvl w:val="0"/>
          <w:numId w:val="0"/>
        </w:numPr>
        <w:ind w:firstLine="420" w:firstLineChars="200"/>
        <w:rPr>
          <w:rFonts w:hAnsi="宋体" w:cs="宋体"/>
          <w:highlight w:val="none"/>
        </w:rPr>
      </w:pPr>
      <w:r>
        <w:rPr>
          <w:rFonts w:hint="eastAsia" w:hAnsi="宋体" w:cs="宋体"/>
          <w:highlight w:val="none"/>
        </w:rPr>
        <w:t>a</w:t>
      </w:r>
      <w:r>
        <w:rPr>
          <w:rFonts w:hint="eastAsia" w:hAnsi="宋体" w:cs="宋体"/>
          <w:highlight w:val="none"/>
          <w:vertAlign w:val="subscript"/>
        </w:rPr>
        <w:t xml:space="preserve">F，i  </w:t>
      </w:r>
      <w:r>
        <w:rPr>
          <w:rFonts w:ascii="Times New Roman"/>
          <w:highlight w:val="none"/>
        </w:rPr>
        <w:t>——</w:t>
      </w:r>
      <w:r>
        <w:rPr>
          <w:rFonts w:hint="eastAsia" w:hAnsi="宋体" w:cs="宋体"/>
          <w:highlight w:val="none"/>
        </w:rPr>
        <w:t>在产品系统中原辅料、能源</w:t>
      </w:r>
      <w:r>
        <w:rPr>
          <w:rFonts w:hint="eastAsia" w:hAnsi="宋体" w:cs="宋体"/>
          <w:highlight w:val="none"/>
          <w:lang w:eastAsia="zh-CN"/>
        </w:rPr>
        <w:t>、运输</w:t>
      </w:r>
      <w:r>
        <w:rPr>
          <w:rFonts w:hint="eastAsia" w:hAnsi="宋体" w:cs="宋体"/>
          <w:highlight w:val="none"/>
        </w:rPr>
        <w:t>等</w:t>
      </w:r>
      <w:r>
        <w:rPr>
          <w:rFonts w:hint="eastAsia" w:hAnsi="宋体" w:cs="宋体"/>
          <w:highlight w:val="none"/>
          <w:lang w:eastAsia="zh-CN"/>
        </w:rPr>
        <w:t>过程</w:t>
      </w:r>
      <w:r>
        <w:rPr>
          <w:rFonts w:hint="eastAsia" w:hAnsi="宋体" w:cs="宋体"/>
          <w:highlight w:val="none"/>
        </w:rPr>
        <w:t>每功能单位的直接消耗量；</w:t>
      </w:r>
    </w:p>
    <w:p>
      <w:pPr>
        <w:pStyle w:val="15"/>
        <w:numPr>
          <w:ilvl w:val="0"/>
          <w:numId w:val="0"/>
        </w:numPr>
        <w:ind w:firstLine="420" w:firstLineChars="200"/>
        <w:rPr>
          <w:rFonts w:hAnsi="宋体" w:cs="宋体"/>
          <w:highlight w:val="none"/>
        </w:rPr>
      </w:pPr>
      <w:r>
        <w:rPr>
          <w:rFonts w:hint="eastAsia" w:hAnsi="宋体" w:cs="宋体"/>
          <w:highlight w:val="none"/>
        </w:rPr>
        <w:t>b</w:t>
      </w:r>
      <w:r>
        <w:rPr>
          <w:rFonts w:hint="eastAsia" w:hAnsi="宋体" w:cs="宋体"/>
          <w:highlight w:val="none"/>
          <w:vertAlign w:val="subscript"/>
        </w:rPr>
        <w:t>F，i,j</w:t>
      </w:r>
      <w:r>
        <w:rPr>
          <w:rFonts w:ascii="Times New Roman"/>
          <w:highlight w:val="none"/>
        </w:rPr>
        <w:t>——</w:t>
      </w:r>
      <w:r>
        <w:rPr>
          <w:rFonts w:hint="eastAsia" w:hAnsi="宋体" w:cs="宋体"/>
          <w:highlight w:val="none"/>
        </w:rPr>
        <w:t>原辅料、能源获取及运输过程所对应的</w:t>
      </w:r>
      <w:r>
        <w:rPr>
          <w:rFonts w:hint="eastAsia" w:hAnsi="宋体" w:cs="宋体"/>
          <w:highlight w:val="none"/>
          <w:lang w:eastAsia="zh-CN"/>
        </w:rPr>
        <w:t>温室气体</w:t>
      </w:r>
      <w:r>
        <w:rPr>
          <w:rFonts w:hint="eastAsia" w:hAnsi="宋体" w:cs="宋体"/>
          <w:highlight w:val="none"/>
        </w:rPr>
        <w:t>排放因子；</w:t>
      </w:r>
    </w:p>
    <w:p>
      <w:pPr>
        <w:pStyle w:val="15"/>
        <w:numPr>
          <w:ilvl w:val="0"/>
          <w:numId w:val="0"/>
        </w:numPr>
        <w:ind w:firstLine="420" w:firstLineChars="200"/>
        <w:rPr>
          <w:rFonts w:hAnsi="宋体" w:cs="宋体"/>
          <w:highlight w:val="none"/>
        </w:rPr>
      </w:pPr>
      <w:r>
        <w:rPr>
          <w:rFonts w:hint="eastAsia" w:hAnsi="宋体" w:cs="宋体"/>
          <w:highlight w:val="none"/>
        </w:rPr>
        <w:t>c</w:t>
      </w:r>
      <w:r>
        <w:rPr>
          <w:rFonts w:hint="eastAsia" w:hAnsi="宋体" w:cs="宋体"/>
          <w:highlight w:val="none"/>
          <w:vertAlign w:val="subscript"/>
        </w:rPr>
        <w:t xml:space="preserve">j     </w:t>
      </w:r>
      <w:r>
        <w:rPr>
          <w:rFonts w:ascii="Times New Roman"/>
          <w:highlight w:val="none"/>
        </w:rPr>
        <w:t>——</w:t>
      </w:r>
      <w:r>
        <w:rPr>
          <w:rFonts w:hint="eastAsia" w:hAnsi="宋体" w:cs="宋体"/>
          <w:highlight w:val="none"/>
        </w:rPr>
        <w:t>温室气体所对应的全球增温潜势值；</w:t>
      </w:r>
    </w:p>
    <w:p>
      <w:pPr>
        <w:pStyle w:val="12"/>
        <w:ind w:firstLine="420"/>
        <w:rPr>
          <w:rFonts w:hAnsi="宋体" w:cs="宋体"/>
          <w:highlight w:val="none"/>
        </w:rPr>
      </w:pPr>
      <w:r>
        <w:rPr>
          <w:rFonts w:hint="eastAsia" w:hAnsi="宋体" w:cs="宋体"/>
          <w:highlight w:val="none"/>
        </w:rPr>
        <w:t>d</w:t>
      </w:r>
      <w:r>
        <w:rPr>
          <w:rFonts w:hint="eastAsia" w:hAnsi="宋体" w:cs="宋体"/>
          <w:highlight w:val="none"/>
          <w:vertAlign w:val="subscript"/>
        </w:rPr>
        <w:t xml:space="preserve">F     </w:t>
      </w:r>
      <w:r>
        <w:rPr>
          <w:rFonts w:ascii="Times New Roman"/>
          <w:highlight w:val="none"/>
        </w:rPr>
        <w:t>——</w:t>
      </w:r>
      <w:r>
        <w:rPr>
          <w:rFonts w:hint="eastAsia" w:hAnsi="宋体" w:cs="宋体"/>
          <w:highlight w:val="none"/>
        </w:rPr>
        <w:t>以功能单位F为基准的产品生产过程直接排放二氧化碳当量。</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Calibri" w:eastAsia="宋体" w:cs="Times New Roman"/>
          <w:sz w:val="24"/>
          <w:szCs w:val="24"/>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Calibri" w:eastAsia="宋体" w:cs="Times New Roman"/>
          <w:sz w:val="24"/>
          <w:szCs w:val="24"/>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Calibri" w:eastAsia="宋体" w:cs="Times New Roman"/>
          <w:sz w:val="24"/>
          <w:szCs w:val="24"/>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outlineLvl w:val="0"/>
        <w:rPr>
          <w:rFonts w:hint="eastAsia" w:ascii="Times New Roman" w:hAnsi="Calibri" w:eastAsia="宋体" w:cs="Times New Roman"/>
          <w:sz w:val="24"/>
          <w:szCs w:val="24"/>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outlineLvl w:val="0"/>
        <w:rPr>
          <w:rFonts w:hint="eastAsia" w:hAnsi="Times New Roman" w:cs="Times New Roman"/>
          <w:b/>
          <w:sz w:val="24"/>
          <w:szCs w:val="24"/>
        </w:rPr>
      </w:pPr>
      <w:r>
        <w:rPr>
          <w:rFonts w:hint="eastAsia" w:hAnsi="Times New Roman" w:cs="Times New Roman"/>
          <w:b/>
          <w:sz w:val="24"/>
          <w:szCs w:val="24"/>
          <w:lang w:eastAsia="zh-CN"/>
        </w:rPr>
        <w:t>三</w:t>
      </w:r>
      <w:r>
        <w:rPr>
          <w:rFonts w:hint="eastAsia" w:hAnsi="Times New Roman" w:cs="Times New Roman"/>
          <w:b/>
          <w:sz w:val="24"/>
          <w:szCs w:val="24"/>
        </w:rPr>
        <w:t>、主要试验（或验证）情况分析；</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outlineLvl w:val="0"/>
        <w:rPr>
          <w:rFonts w:hint="default" w:hAnsi="Times New Roman" w:cs="Times New Roman"/>
          <w:b w:val="0"/>
          <w:bCs/>
          <w:sz w:val="24"/>
          <w:szCs w:val="24"/>
          <w:lang w:val="en-US" w:eastAsia="zh-CN"/>
        </w:rPr>
      </w:pPr>
      <w:r>
        <w:rPr>
          <w:rFonts w:hint="eastAsia" w:cs="Times New Roman"/>
          <w:b w:val="0"/>
          <w:bCs/>
          <w:sz w:val="24"/>
          <w:szCs w:val="24"/>
          <w:lang w:eastAsia="zh-CN"/>
        </w:rPr>
        <w:t>数据收集表的可行性，厂家仅通过表</w:t>
      </w:r>
      <w:r>
        <w:rPr>
          <w:rFonts w:hint="eastAsia" w:cs="Times New Roman"/>
          <w:b w:val="0"/>
          <w:bCs/>
          <w:sz w:val="24"/>
          <w:szCs w:val="24"/>
          <w:lang w:val="en-US" w:eastAsia="zh-CN"/>
        </w:rPr>
        <w:t>2进行数据收集是否能满足组件产品碳足迹计算所需的数据基础。</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outlineLvl w:val="0"/>
        <w:rPr>
          <w:rFonts w:hint="eastAsia" w:hAnsi="Times New Roman" w:cs="Times New Roman"/>
          <w:b w:val="0"/>
          <w:bCs/>
          <w:sz w:val="24"/>
          <w:szCs w:val="24"/>
          <w:lang w:eastAsia="zh-CN"/>
        </w:rPr>
      </w:pPr>
      <w:r>
        <w:rPr>
          <w:rFonts w:hint="eastAsia" w:hAnsi="Times New Roman" w:cs="Times New Roman"/>
          <w:b w:val="0"/>
          <w:bCs/>
          <w:sz w:val="24"/>
          <w:szCs w:val="24"/>
          <w:lang w:eastAsia="zh-CN"/>
        </w:rPr>
        <w:t>碳足迹计算公式是否能够计算出以功能单位为基准的温室气体排放总量。</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outlineLvl w:val="0"/>
        <w:rPr>
          <w:rFonts w:hint="eastAsia" w:hAnsi="Times New Roman" w:cs="Times New Roman"/>
          <w:b w:val="0"/>
          <w:bCs/>
          <w:sz w:val="24"/>
          <w:szCs w:val="24"/>
          <w:lang w:eastAsia="zh-CN"/>
        </w:rPr>
      </w:pP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outlineLvl w:val="0"/>
        <w:rPr>
          <w:rFonts w:hint="default" w:hAnsi="Times New Roman" w:eastAsia="宋体" w:cs="Times New Roman"/>
          <w:b/>
          <w:sz w:val="24"/>
          <w:szCs w:val="24"/>
          <w:lang w:val="en-US" w:eastAsia="zh-CN"/>
        </w:rPr>
      </w:pPr>
      <w:r>
        <w:rPr>
          <w:rFonts w:hint="eastAsia" w:hAnsi="Times New Roman" w:cs="Times New Roman"/>
          <w:b/>
          <w:sz w:val="24"/>
          <w:szCs w:val="24"/>
          <w:lang w:eastAsia="zh-CN"/>
        </w:rPr>
        <w:t>四</w:t>
      </w:r>
      <w:r>
        <w:rPr>
          <w:rFonts w:hint="eastAsia" w:hAnsi="Times New Roman" w:cs="Times New Roman"/>
          <w:b/>
          <w:sz w:val="24"/>
          <w:szCs w:val="24"/>
        </w:rPr>
        <w:t>、</w:t>
      </w:r>
      <w:r>
        <w:rPr>
          <w:rFonts w:hint="eastAsia" w:cs="Times New Roman"/>
          <w:b/>
          <w:sz w:val="24"/>
          <w:szCs w:val="24"/>
          <w:lang w:val="en-US" w:eastAsia="zh-CN"/>
        </w:rPr>
        <w:t>知识产权情况</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0" w:firstLineChars="200"/>
        <w:textAlignment w:val="auto"/>
        <w:outlineLvl w:val="0"/>
        <w:rPr>
          <w:rFonts w:hint="default" w:hAnsi="Times New Roman" w:eastAsia="宋体" w:cs="Times New Roman"/>
          <w:b w:val="0"/>
          <w:bCs/>
          <w:sz w:val="24"/>
          <w:szCs w:val="24"/>
          <w:lang w:val="en-US" w:eastAsia="zh-CN"/>
        </w:rPr>
      </w:pPr>
      <w:r>
        <w:rPr>
          <w:rFonts w:hint="eastAsia" w:cs="Times New Roman"/>
          <w:b w:val="0"/>
          <w:bCs/>
          <w:sz w:val="24"/>
          <w:szCs w:val="24"/>
          <w:lang w:val="en-US" w:eastAsia="zh-CN"/>
        </w:rPr>
        <w:t>本文文件未涉及专利。</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firstLine="482" w:firstLineChars="200"/>
        <w:textAlignment w:val="auto"/>
        <w:outlineLvl w:val="0"/>
        <w:rPr>
          <w:rFonts w:hint="eastAsia" w:hAnsi="Times New Roman" w:cs="Times New Roman"/>
          <w:b/>
          <w:sz w:val="24"/>
          <w:szCs w:val="24"/>
        </w:rPr>
      </w:pPr>
      <w:r>
        <w:rPr>
          <w:rFonts w:hint="eastAsia" w:ascii="宋体" w:hAnsi="Times New Roman" w:eastAsia="宋体" w:cs="Times New Roman"/>
          <w:b/>
          <w:kern w:val="0"/>
          <w:sz w:val="24"/>
          <w:szCs w:val="24"/>
          <w:lang w:val="en-US" w:eastAsia="zh-CN" w:bidi="ar-SA"/>
        </w:rPr>
        <w:t>五、</w:t>
      </w:r>
      <w:r>
        <w:rPr>
          <w:rFonts w:hint="eastAsia" w:hAnsi="Times New Roman" w:cs="Times New Roman"/>
          <w:b/>
          <w:sz w:val="24"/>
          <w:szCs w:val="24"/>
        </w:rPr>
        <w:t>产业化情况、推广应用论证和预期达到的经济效果等情况</w:t>
      </w:r>
    </w:p>
    <w:p>
      <w:pPr>
        <w:pStyle w:val="10"/>
        <w:keepNext w:val="0"/>
        <w:keepLines w:val="0"/>
        <w:pageBreakBefore w:val="0"/>
        <w:tabs>
          <w:tab w:val="center" w:pos="4201"/>
          <w:tab w:val="right" w:leader="dot" w:pos="9298"/>
        </w:tabs>
        <w:kinsoku/>
        <w:wordWrap/>
        <w:overflowPunct/>
        <w:topLinePunct w:val="0"/>
        <w:bidi w:val="0"/>
        <w:adjustRightInd/>
        <w:snapToGrid/>
        <w:spacing w:line="360" w:lineRule="auto"/>
        <w:ind w:left="0" w:leftChars="0" w:firstLine="480" w:firstLineChars="200"/>
        <w:textAlignment w:val="auto"/>
        <w:rPr>
          <w:rFonts w:hint="default" w:ascii="Times New Roman" w:hAnsi="Calibri" w:eastAsia="宋体" w:cs="Times New Roman"/>
          <w:sz w:val="24"/>
          <w:szCs w:val="24"/>
          <w:lang w:val="en-US"/>
        </w:rPr>
      </w:pPr>
      <w:r>
        <w:rPr>
          <w:rFonts w:hint="eastAsia" w:ascii="Times New Roman" w:hAnsi="Calibri" w:cs="Times New Roman"/>
          <w:sz w:val="24"/>
          <w:szCs w:val="24"/>
          <w:lang w:eastAsia="zh-CN"/>
        </w:rPr>
        <w:t>我国光伏产业产量和装机量均位居全球首位，作为助力双碳目标实现的主力军，光伏行业本身的低碳发展十分重要。且我国光伏组件出口量占产量的</w:t>
      </w:r>
      <w:r>
        <w:rPr>
          <w:rFonts w:hint="eastAsia" w:ascii="Times New Roman" w:hAnsi="Calibri" w:cs="Times New Roman"/>
          <w:sz w:val="24"/>
          <w:szCs w:val="24"/>
          <w:lang w:val="en-US" w:eastAsia="zh-CN"/>
        </w:rPr>
        <w:t>50%左右，主要海外市场纷纷通过设置碳足迹的贸易壁垒阻止我国产品进入其市场，从而形成本土制造保护政策。例如：2019年法国能源监管委员会（CRE）在光伏招标项目中，把碳足迹排放值列入重要的竞标依据。对中国企业核算的碳足迹排放值大大高于实际值，使得我光伏产品在项目招标中竞争力大为削弱，几乎被排斥在法国市场之外。韩国“新能源和可再生能源 “2020年下半年固定价格合同竞争性招标”中，强制性实施光伏组件碳足迹等级制度，中国组件产品因未完成碳足迹认证而被视为最低等级，事实上已将中国组件企业排除在韩国市场之外。</w:t>
      </w:r>
    </w:p>
    <w:p>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sz w:val="32"/>
          <w:szCs w:val="32"/>
        </w:rPr>
      </w:pP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黑体" w:hAnsi="黑体" w:eastAsia="黑体"/>
          <w:sz w:val="32"/>
          <w:szCs w:val="32"/>
        </w:rPr>
      </w:pPr>
      <w:r>
        <w:rPr>
          <w:rFonts w:hint="eastAsia" w:ascii="宋体" w:cs="Times New Roman"/>
          <w:b/>
          <w:kern w:val="0"/>
          <w:sz w:val="24"/>
          <w:szCs w:val="24"/>
          <w:lang w:val="en-US" w:eastAsia="zh-CN" w:bidi="ar-SA"/>
        </w:rPr>
        <w:t>六、</w:t>
      </w:r>
      <w:r>
        <w:rPr>
          <w:rFonts w:hint="eastAsia" w:ascii="宋体" w:hAnsi="Times New Roman" w:eastAsia="宋体" w:cs="Times New Roman"/>
          <w:b/>
          <w:kern w:val="0"/>
          <w:sz w:val="24"/>
          <w:szCs w:val="24"/>
          <w:lang w:val="en-US" w:eastAsia="zh-CN" w:bidi="ar-SA"/>
        </w:rPr>
        <w:t>与国际、国外有关法律法规和标准水平的对比分析</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Calibri" w:eastAsia="宋体" w:cs="Times New Roman"/>
          <w:kern w:val="0"/>
          <w:sz w:val="24"/>
          <w:szCs w:val="24"/>
          <w:lang w:val="en-US" w:eastAsia="zh-CN" w:bidi="ar-SA"/>
        </w:rPr>
      </w:pPr>
      <w:r>
        <w:rPr>
          <w:rFonts w:hint="eastAsia" w:ascii="Times New Roman" w:hAnsi="Calibri" w:eastAsia="宋体" w:cs="Times New Roman"/>
          <w:kern w:val="0"/>
          <w:sz w:val="24"/>
          <w:szCs w:val="24"/>
          <w:lang w:val="en-US" w:eastAsia="zh-CN" w:bidi="ar-SA"/>
        </w:rPr>
        <w:t>国际上广泛应用于产品的碳足迹核算标准有PAS 2050:2008、GHG protocol和ISO 14067：2018。其中PAS 2050:2008 是全世界第一个产品碳足迹核算标准、GHG protocol是世界资源研究所和世界可持续发展工商理事会正式发布的标准，是要求最为详细的碳足迹核算标准。ISO 14067由国际标准化组织发布，该标准被认为是更具普遍性的标准，提供了最基本的要求与指导。</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Times New Roman" w:eastAsia="宋体" w:cs="Times New Roman"/>
          <w:b/>
          <w:kern w:val="0"/>
          <w:sz w:val="24"/>
          <w:szCs w:val="24"/>
          <w:lang w:val="en-US" w:eastAsia="zh-CN" w:bidi="ar-SA"/>
        </w:rPr>
      </w:pPr>
      <w:r>
        <w:rPr>
          <w:rFonts w:hint="eastAsia" w:ascii="宋体" w:eastAsia="宋体" w:cs="Times New Roman"/>
          <w:b/>
          <w:kern w:val="0"/>
          <w:sz w:val="24"/>
          <w:szCs w:val="24"/>
          <w:lang w:val="en-US" w:eastAsia="zh-CN" w:bidi="ar-SA"/>
        </w:rPr>
        <w:t>七</w:t>
      </w:r>
      <w:r>
        <w:rPr>
          <w:rFonts w:hint="eastAsia" w:ascii="宋体" w:hAnsi="Times New Roman" w:eastAsia="宋体" w:cs="Times New Roman"/>
          <w:b/>
          <w:kern w:val="0"/>
          <w:sz w:val="24"/>
          <w:szCs w:val="24"/>
          <w:lang w:val="en-US" w:eastAsia="zh-CN" w:bidi="ar-SA"/>
        </w:rPr>
        <w:t>、与现行有关法律、法规和标准的关系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imes New Roman" w:hAnsi="Calibri" w:eastAsia="宋体" w:cs="Times New Roman"/>
          <w:kern w:val="2"/>
          <w:sz w:val="24"/>
          <w:szCs w:val="24"/>
          <w:lang w:val="en-US" w:eastAsia="zh-CN" w:bidi="ar-SA"/>
        </w:rPr>
      </w:pPr>
      <w:r>
        <w:rPr>
          <w:rFonts w:hint="eastAsia" w:ascii="Times New Roman" w:hAnsi="Calibri" w:eastAsia="宋体" w:cs="Times New Roman"/>
          <w:kern w:val="2"/>
          <w:sz w:val="24"/>
          <w:szCs w:val="24"/>
          <w:lang w:val="en-US" w:eastAsia="zh-CN" w:bidi="ar-SA"/>
        </w:rPr>
        <w:t>与有关的现行法律、法规和强制性标准</w:t>
      </w:r>
      <w:r>
        <w:rPr>
          <w:rFonts w:hint="eastAsia" w:ascii="Times New Roman" w:hAnsi="Calibri" w:cs="Times New Roman"/>
          <w:kern w:val="2"/>
          <w:sz w:val="24"/>
          <w:szCs w:val="24"/>
          <w:lang w:val="en-US" w:eastAsia="zh-CN" w:bidi="ar-SA"/>
        </w:rPr>
        <w:t>协调一致</w:t>
      </w:r>
      <w:r>
        <w:rPr>
          <w:rFonts w:hint="eastAsia" w:ascii="Times New Roman" w:hAnsi="Calibri" w:eastAsia="宋体" w:cs="Times New Roman"/>
          <w:kern w:val="2"/>
          <w:sz w:val="24"/>
          <w:szCs w:val="24"/>
          <w:lang w:val="en-US" w:eastAsia="zh-CN" w:bidi="ar-SA"/>
        </w:rPr>
        <w:t>。</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Times New Roman" w:eastAsia="宋体" w:cs="Times New Roman"/>
          <w:b/>
          <w:kern w:val="0"/>
          <w:sz w:val="24"/>
          <w:szCs w:val="24"/>
          <w:lang w:val="en-US" w:eastAsia="zh-CN" w:bidi="ar-SA"/>
        </w:rPr>
      </w:pPr>
      <w:r>
        <w:rPr>
          <w:rFonts w:hint="eastAsia" w:ascii="宋体" w:eastAsia="宋体" w:cs="Times New Roman"/>
          <w:b/>
          <w:kern w:val="0"/>
          <w:sz w:val="24"/>
          <w:szCs w:val="24"/>
          <w:lang w:val="en-US" w:eastAsia="zh-CN" w:bidi="ar-SA"/>
        </w:rPr>
        <w:t>八</w:t>
      </w:r>
      <w:r>
        <w:rPr>
          <w:rFonts w:hint="eastAsia" w:ascii="宋体" w:hAnsi="Times New Roman" w:eastAsia="宋体" w:cs="Times New Roman"/>
          <w:b/>
          <w:kern w:val="0"/>
          <w:sz w:val="24"/>
          <w:szCs w:val="24"/>
          <w:lang w:val="en-US" w:eastAsia="zh-CN" w:bidi="ar-SA"/>
        </w:rPr>
        <w:t>、重大分歧意见的处理过程及依据</w:t>
      </w:r>
    </w:p>
    <w:p>
      <w:pPr>
        <w:keepNext w:val="0"/>
        <w:keepLines w:val="0"/>
        <w:pageBreakBefore w:val="0"/>
        <w:kinsoku/>
        <w:wordWrap/>
        <w:overflowPunct/>
        <w:topLinePunct w:val="0"/>
        <w:bidi w:val="0"/>
        <w:adjustRightInd/>
        <w:snapToGrid/>
        <w:spacing w:line="360" w:lineRule="auto"/>
        <w:ind w:firstLine="480" w:firstLineChars="200"/>
        <w:textAlignment w:val="auto"/>
        <w:outlineLvl w:val="0"/>
        <w:rPr>
          <w:rFonts w:hint="eastAsia" w:ascii="Times New Roman" w:hAnsi="Calibri" w:cs="Times New Roman"/>
          <w:kern w:val="2"/>
          <w:sz w:val="24"/>
          <w:szCs w:val="24"/>
          <w:lang w:val="en-US" w:eastAsia="zh-CN" w:bidi="ar-SA"/>
        </w:rPr>
      </w:pPr>
      <w:r>
        <w:rPr>
          <w:rFonts w:hint="eastAsia" w:ascii="Times New Roman" w:hAnsi="Calibri" w:cs="Times New Roman"/>
          <w:kern w:val="2"/>
          <w:sz w:val="24"/>
          <w:szCs w:val="24"/>
          <w:lang w:val="en-US" w:eastAsia="zh-CN" w:bidi="ar-SA"/>
        </w:rPr>
        <w:t>本文件无重大分歧。</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Times New Roman" w:eastAsia="宋体" w:cs="Times New Roman"/>
          <w:b/>
          <w:kern w:val="0"/>
          <w:sz w:val="24"/>
          <w:szCs w:val="24"/>
          <w:lang w:val="en-US" w:eastAsia="zh-CN" w:bidi="ar-SA"/>
        </w:rPr>
      </w:pPr>
      <w:r>
        <w:rPr>
          <w:rFonts w:hint="eastAsia" w:ascii="宋体" w:eastAsia="宋体" w:cs="Times New Roman"/>
          <w:b/>
          <w:kern w:val="0"/>
          <w:sz w:val="24"/>
          <w:szCs w:val="24"/>
          <w:lang w:val="en-US" w:eastAsia="zh-CN" w:bidi="ar-SA"/>
        </w:rPr>
        <w:t>九</w:t>
      </w:r>
      <w:r>
        <w:rPr>
          <w:rFonts w:hint="eastAsia" w:ascii="宋体" w:hAnsi="Times New Roman" w:eastAsia="宋体" w:cs="Times New Roman"/>
          <w:b/>
          <w:kern w:val="0"/>
          <w:sz w:val="24"/>
          <w:szCs w:val="24"/>
          <w:lang w:val="en-US" w:eastAsia="zh-CN" w:bidi="ar-SA"/>
        </w:rPr>
        <w:t>、贯彻标准的要求和措施建议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Calibri" w:eastAsia="宋体" w:cs="Times New Roman"/>
          <w:kern w:val="2"/>
          <w:sz w:val="24"/>
          <w:szCs w:val="24"/>
          <w:lang w:val="en-US" w:eastAsia="zh-CN" w:bidi="ar-SA"/>
        </w:rPr>
      </w:pPr>
      <w:r>
        <w:rPr>
          <w:rFonts w:hint="eastAsia" w:ascii="Times New Roman" w:hAnsi="Calibri" w:cs="Times New Roman"/>
          <w:kern w:val="2"/>
          <w:sz w:val="24"/>
          <w:szCs w:val="24"/>
          <w:lang w:val="en-US" w:eastAsia="zh-CN" w:bidi="ar-SA"/>
        </w:rPr>
        <w:t>建议标准发布6个月后实施</w:t>
      </w:r>
    </w:p>
    <w:p>
      <w:pPr>
        <w:keepNext w:val="0"/>
        <w:keepLines w:val="0"/>
        <w:pageBreakBefore w:val="0"/>
        <w:kinsoku/>
        <w:wordWrap/>
        <w:overflowPunct/>
        <w:topLinePunct w:val="0"/>
        <w:bidi w:val="0"/>
        <w:adjustRightInd/>
        <w:snapToGrid/>
        <w:spacing w:line="360" w:lineRule="auto"/>
        <w:ind w:firstLine="482" w:firstLineChars="200"/>
        <w:textAlignment w:val="auto"/>
        <w:outlineLvl w:val="0"/>
        <w:rPr>
          <w:rFonts w:hint="eastAsia" w:ascii="宋体" w:hAnsi="Times New Roman" w:eastAsia="宋体" w:cs="Times New Roman"/>
          <w:b/>
          <w:kern w:val="0"/>
          <w:sz w:val="24"/>
          <w:szCs w:val="24"/>
          <w:lang w:val="en-US" w:eastAsia="zh-CN" w:bidi="ar-SA"/>
        </w:rPr>
      </w:pPr>
      <w:r>
        <w:rPr>
          <w:rFonts w:hint="eastAsia" w:ascii="宋体" w:hAnsi="Times New Roman" w:eastAsia="宋体" w:cs="Times New Roman"/>
          <w:b/>
          <w:kern w:val="0"/>
          <w:sz w:val="24"/>
          <w:szCs w:val="24"/>
          <w:lang w:val="en-US" w:eastAsia="zh-CN" w:bidi="ar-SA"/>
        </w:rPr>
        <w:t>十、替代或废止现行相关标准的建议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Calibri" w:eastAsia="宋体" w:cs="Times New Roman"/>
          <w:kern w:val="2"/>
          <w:sz w:val="24"/>
          <w:szCs w:val="24"/>
          <w:lang w:val="en-US" w:eastAsia="zh-CN" w:bidi="ar-SA"/>
        </w:rPr>
      </w:pPr>
      <w:r>
        <w:rPr>
          <w:rFonts w:hint="eastAsia" w:ascii="Times New Roman" w:hAnsi="Calibri" w:cs="Times New Roman"/>
          <w:kern w:val="2"/>
          <w:sz w:val="24"/>
          <w:szCs w:val="24"/>
          <w:lang w:val="en-US" w:eastAsia="zh-CN" w:bidi="ar-SA"/>
        </w:rPr>
        <w:t>本文件为首次制定，无替代标准。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1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46260FA"/>
    <w:multiLevelType w:val="multilevel"/>
    <w:tmpl w:val="646260FA"/>
    <w:lvl w:ilvl="0" w:tentative="0">
      <w:start w:val="1"/>
      <w:numFmt w:val="decimal"/>
      <w:pStyle w:val="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DBF04F4"/>
    <w:multiLevelType w:val="multilevel"/>
    <w:tmpl w:val="6DBF04F4"/>
    <w:lvl w:ilvl="0" w:tentative="0">
      <w:start w:val="1"/>
      <w:numFmt w:val="none"/>
      <w:pStyle w:val="2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GIyMWYwMTcwM2U3OTBjMDdkNzVkZThhZWI1NWIifQ=="/>
  </w:docVars>
  <w:rsids>
    <w:rsidRoot w:val="00172A27"/>
    <w:rsid w:val="01D24EFD"/>
    <w:rsid w:val="070C6A1C"/>
    <w:rsid w:val="0BC168A9"/>
    <w:rsid w:val="0E6D4170"/>
    <w:rsid w:val="13671AE4"/>
    <w:rsid w:val="14501F2D"/>
    <w:rsid w:val="17142864"/>
    <w:rsid w:val="1C6601D3"/>
    <w:rsid w:val="21C64301"/>
    <w:rsid w:val="21F044D7"/>
    <w:rsid w:val="234067E8"/>
    <w:rsid w:val="2672446D"/>
    <w:rsid w:val="27341BDD"/>
    <w:rsid w:val="27D2727C"/>
    <w:rsid w:val="34D07E14"/>
    <w:rsid w:val="36A24F04"/>
    <w:rsid w:val="37B473FA"/>
    <w:rsid w:val="38FC382C"/>
    <w:rsid w:val="43B52B95"/>
    <w:rsid w:val="44AA1AAB"/>
    <w:rsid w:val="49E6770E"/>
    <w:rsid w:val="4C9A5DAB"/>
    <w:rsid w:val="4E1958C4"/>
    <w:rsid w:val="4FC869F8"/>
    <w:rsid w:val="53097894"/>
    <w:rsid w:val="57A51F1C"/>
    <w:rsid w:val="57DA5BC8"/>
    <w:rsid w:val="5D7A448E"/>
    <w:rsid w:val="5EC950AC"/>
    <w:rsid w:val="612D15C3"/>
    <w:rsid w:val="672147BC"/>
    <w:rsid w:val="67394A3B"/>
    <w:rsid w:val="6BA90AC5"/>
    <w:rsid w:val="6BCF6138"/>
    <w:rsid w:val="6BD12FA8"/>
    <w:rsid w:val="6E4106AC"/>
    <w:rsid w:val="728D7C0C"/>
    <w:rsid w:val="7EF517B9"/>
    <w:rsid w:val="7F1F2978"/>
    <w:rsid w:val="7FDD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annotation reference"/>
    <w:basedOn w:val="6"/>
    <w:semiHidden/>
    <w:unhideWhenUsed/>
    <w:qFormat/>
    <w:uiPriority w:val="99"/>
    <w:rPr>
      <w:sz w:val="21"/>
      <w:szCs w:val="21"/>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List Paragraph"/>
    <w:basedOn w:val="1"/>
    <w:qFormat/>
    <w:uiPriority w:val="1"/>
    <w:pPr>
      <w:spacing w:before="1"/>
      <w:ind w:left="558" w:hanging="421"/>
    </w:pPr>
    <w:rPr>
      <w:rFonts w:ascii="宋体" w:hAnsi="宋体" w:eastAsia="宋体" w:cs="宋体"/>
      <w:lang w:val="zh-CN" w:eastAsia="zh-CN" w:bidi="zh-CN"/>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正文公式"/>
    <w:basedOn w:val="1"/>
    <w:next w:val="14"/>
    <w:qFormat/>
    <w:uiPriority w:val="0"/>
    <w:pPr>
      <w:tabs>
        <w:tab w:val="center" w:pos="4678"/>
        <w:tab w:val="right" w:leader="middleDot" w:pos="9356"/>
      </w:tabs>
      <w:spacing w:line="240" w:lineRule="auto"/>
    </w:pPr>
    <w:rPr>
      <w:rFonts w:ascii="宋体" w:hAnsi="宋体"/>
    </w:rPr>
  </w:style>
  <w:style w:type="paragraph" w:customStyle="1" w:styleId="14">
    <w:name w:val="标准文件_标准正文"/>
    <w:basedOn w:val="1"/>
    <w:next w:val="12"/>
    <w:qFormat/>
    <w:uiPriority w:val="0"/>
    <w:pPr>
      <w:snapToGrid w:val="0"/>
      <w:ind w:firstLine="200" w:firstLineChars="200"/>
    </w:pPr>
    <w:rPr>
      <w:kern w:val="0"/>
    </w:rPr>
  </w:style>
  <w:style w:type="paragraph" w:customStyle="1" w:styleId="15">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6">
    <w:name w:val="标准文件_正文表标题"/>
    <w:next w:val="12"/>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
    <w:name w:val="标准文件_附录一级无标题"/>
    <w:basedOn w:val="18"/>
    <w:qFormat/>
    <w:uiPriority w:val="0"/>
    <w:pPr>
      <w:spacing w:before="0" w:beforeLines="0" w:after="0" w:afterLines="0" w:line="276" w:lineRule="auto"/>
      <w:outlineLvl w:val="9"/>
    </w:pPr>
    <w:rPr>
      <w:rFonts w:ascii="宋体" w:eastAsia="宋体"/>
    </w:rPr>
  </w:style>
  <w:style w:type="paragraph" w:customStyle="1" w:styleId="18">
    <w:name w:val="标准文件_附录一级条标题"/>
    <w:next w:val="12"/>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9">
    <w:name w:val="标准文件_二级条标题"/>
    <w:next w:val="12"/>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0">
    <w:name w:val="标准文件_注："/>
    <w:next w:val="1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2391</Words>
  <Characters>2573</Characters>
  <Lines>0</Lines>
  <Paragraphs>0</Paragraphs>
  <TotalTime>0</TotalTime>
  <ScaleCrop>false</ScaleCrop>
  <LinksUpToDate>false</LinksUpToDate>
  <CharactersWithSpaces>2621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2021-10-25T09:54:00Z</dcterms:created>
  <dc:creator>Administrator</dc:creator>
  <cp:lastModifiedBy>cesirohs</cp:lastModifiedBy>
  <cp:lastPrinted>2021-10-26T00:52:00Z</cp:lastPrinted>
  <dcterms:modified xsi:type="dcterms:W3CDTF">2022-09-07T09:15:37Z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E7EA497457E349EBA495F52B87EF2CBC</vt:lpwstr>
  </property>
</Properties>
</file>