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highlight w:val="none"/>
              </w:rPr>
            </w:pPr>
            <w:r>
              <w:rPr>
                <w:rFonts w:ascii="黑体" w:hAnsi="黑体" w:eastAsia="黑体"/>
                <w:sz w:val="21"/>
                <w:szCs w:val="21"/>
                <w:highlight w:val="none"/>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highlight w:val="none"/>
              </w:rPr>
            </w:pPr>
            <w:bookmarkStart w:id="0" w:name="ICS"/>
            <w:r>
              <w:rPr>
                <w:rFonts w:ascii="黑体" w:hAnsi="黑体" w:eastAsia="黑体" w:cs="Times New Roman"/>
                <w:kern w:val="2"/>
                <w:sz w:val="21"/>
                <w:szCs w:val="21"/>
                <w:highlight w:val="none"/>
                <w:lang w:val="en-US" w:eastAsia="zh-CN" w:bidi="ar-SA"/>
              </w:rPr>
              <w:fldChar w:fldCharType="begin">
                <w:ffData>
                  <w:name w:val="ICS"/>
                  <w:enabled/>
                  <w:calcOnExit w:val="0"/>
                  <w:textInput>
                    <w:default w:val="27.160"/>
                  </w:textInput>
                </w:ffData>
              </w:fldChar>
            </w:r>
            <w:r>
              <w:rPr>
                <w:rFonts w:ascii="黑体" w:hAnsi="黑体" w:eastAsia="黑体" w:cs="Times New Roman"/>
                <w:kern w:val="2"/>
                <w:sz w:val="21"/>
                <w:szCs w:val="21"/>
                <w:highlight w:val="none"/>
                <w:lang w:val="en-US" w:eastAsia="zh-CN" w:bidi="ar-SA"/>
              </w:rPr>
              <w:instrText xml:space="preserve">FORMTEXT</w:instrText>
            </w:r>
            <w:r>
              <w:rPr>
                <w:rFonts w:ascii="黑体" w:hAnsi="黑体" w:eastAsia="黑体" w:cs="Times New Roman"/>
                <w:kern w:val="2"/>
                <w:sz w:val="21"/>
                <w:szCs w:val="21"/>
                <w:highlight w:val="none"/>
                <w:lang w:val="en-US" w:eastAsia="zh-CN" w:bidi="ar-SA"/>
              </w:rPr>
              <w:fldChar w:fldCharType="separate"/>
            </w:r>
            <w:r>
              <w:rPr>
                <w:rFonts w:ascii="黑体" w:hAnsi="黑体" w:eastAsia="黑体" w:cs="Times New Roman"/>
                <w:kern w:val="2"/>
                <w:sz w:val="21"/>
                <w:szCs w:val="21"/>
                <w:highlight w:val="none"/>
                <w:lang w:val="en-US" w:eastAsia="zh-CN" w:bidi="ar-SA"/>
              </w:rPr>
              <w:t>27.160</w:t>
            </w:r>
            <w:r>
              <w:rPr>
                <w:rFonts w:ascii="黑体" w:hAnsi="黑体" w:eastAsia="黑体" w:cs="Times New Roman"/>
                <w:kern w:val="2"/>
                <w:sz w:val="21"/>
                <w:szCs w:val="21"/>
                <w:highlight w:val="none"/>
                <w:lang w:val="en-US" w:eastAsia="zh-CN" w:bidi="ar-SA"/>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r>
              <w:rPr>
                <w:rFonts w:ascii="黑体" w:hAnsi="黑体" w:eastAsia="黑体"/>
                <w:sz w:val="21"/>
                <w:szCs w:val="21"/>
                <w:highlight w:val="none"/>
              </w:rPr>
              <w:t xml:space="preserve">CCS  </w:t>
            </w:r>
          </w:p>
        </w:tc>
        <w:tc>
          <w:tcPr>
            <w:tcW w:w="8855" w:type="dxa"/>
          </w:tcPr>
          <w:tbl>
            <w:tblPr>
              <w:tblStyle w:val="29"/>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2"/>
                    <w:framePr w:wrap="notBeside" w:vAnchor="page" w:hAnchor="page" w:x="1372" w:y="568"/>
                    <w:spacing w:line="1200" w:lineRule="auto"/>
                    <w:ind w:left="420" w:right="624"/>
                    <w:rPr>
                      <w:rFonts w:ascii="黑体" w:hAnsi="黑体" w:eastAsia="黑体"/>
                      <w:sz w:val="28"/>
                      <w:szCs w:val="28"/>
                      <w:highlight w:val="none"/>
                    </w:rPr>
                  </w:pPr>
                  <w:bookmarkStart w:id="1" w:name="c1"/>
                  <w:r>
                    <w:rPr>
                      <w:highlight w:val="none"/>
                    </w:rPr>
                    <w:fldChar w:fldCharType="begin">
                      <w:ffData>
                        <w:name w:val="c1"/>
                        <w:enabled/>
                        <w:calcOnExit w:val="0"/>
                        <w:entryMacro w:val="ShowHelp15"/>
                        <w:textInput>
                          <w:maxLength w:val="2"/>
                        </w:textInput>
                      </w:ffData>
                    </w:fldChar>
                  </w:r>
                  <w:r>
                    <w:rPr>
                      <w:highlight w:val="none"/>
                    </w:rPr>
                    <w:instrText xml:space="preserve"> FORMTEXT </w:instrText>
                  </w:r>
                  <w:r>
                    <w:rPr>
                      <w:highlight w:val="none"/>
                    </w:rPr>
                    <w:fldChar w:fldCharType="separate"/>
                  </w:r>
                  <w:r>
                    <w:rPr>
                      <w:rFonts w:hint="eastAsia"/>
                      <w:highlight w:val="none"/>
                    </w:rPr>
                    <w:t>SJ</w:t>
                  </w:r>
                  <w:r>
                    <w:rPr>
                      <w:highlight w:val="none"/>
                    </w:rP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highlight w:val="none"/>
              </w:rPr>
            </w:pPr>
            <w:bookmarkStart w:id="2" w:name="CSDN"/>
            <w:r>
              <w:rPr>
                <w:rFonts w:ascii="黑体" w:hAnsi="黑体" w:eastAsia="黑体" w:cs="Times New Roman"/>
                <w:kern w:val="2"/>
                <w:sz w:val="21"/>
                <w:szCs w:val="21"/>
                <w:highlight w:val="none"/>
                <w:lang w:val="en-US" w:eastAsia="zh-CN" w:bidi="ar-SA"/>
              </w:rPr>
              <w:fldChar w:fldCharType="begin">
                <w:ffData>
                  <w:name w:val="CSDN"/>
                  <w:enabled/>
                  <w:calcOnExit w:val="0"/>
                  <w:textInput>
                    <w:default w:val="F12"/>
                  </w:textInput>
                </w:ffData>
              </w:fldChar>
            </w:r>
            <w:r>
              <w:rPr>
                <w:rFonts w:ascii="黑体" w:hAnsi="黑体" w:eastAsia="黑体" w:cs="Times New Roman"/>
                <w:kern w:val="2"/>
                <w:sz w:val="21"/>
                <w:szCs w:val="21"/>
                <w:highlight w:val="none"/>
                <w:lang w:val="en-US" w:eastAsia="zh-CN" w:bidi="ar-SA"/>
              </w:rPr>
              <w:instrText xml:space="preserve">FORMTEXT</w:instrText>
            </w:r>
            <w:r>
              <w:rPr>
                <w:rFonts w:ascii="黑体" w:hAnsi="黑体" w:eastAsia="黑体" w:cs="Times New Roman"/>
                <w:kern w:val="2"/>
                <w:sz w:val="21"/>
                <w:szCs w:val="21"/>
                <w:highlight w:val="none"/>
                <w:lang w:val="en-US" w:eastAsia="zh-CN" w:bidi="ar-SA"/>
              </w:rPr>
              <w:fldChar w:fldCharType="separate"/>
            </w:r>
            <w:r>
              <w:rPr>
                <w:rFonts w:ascii="黑体" w:hAnsi="黑体" w:eastAsia="黑体" w:cs="Times New Roman"/>
                <w:kern w:val="2"/>
                <w:sz w:val="21"/>
                <w:szCs w:val="21"/>
                <w:highlight w:val="none"/>
                <w:lang w:val="en-US" w:eastAsia="zh-CN" w:bidi="ar-SA"/>
              </w:rPr>
              <w:t>F12</w:t>
            </w:r>
            <w:r>
              <w:rPr>
                <w:rFonts w:ascii="黑体" w:hAnsi="黑体" w:eastAsia="黑体" w:cs="Times New Roman"/>
                <w:kern w:val="2"/>
                <w:sz w:val="21"/>
                <w:szCs w:val="21"/>
                <w:highlight w:val="none"/>
                <w:lang w:val="en-US" w:eastAsia="zh-CN" w:bidi="ar-SA"/>
              </w:rPr>
              <w:fldChar w:fldCharType="end"/>
            </w:r>
            <w:bookmarkEnd w:id="2"/>
          </w:p>
        </w:tc>
      </w:tr>
    </w:tbl>
    <w:p>
      <w:pPr>
        <w:pStyle w:val="53"/>
        <w:framePr w:w="10389" w:h="1054" w:hRule="exact" w:hSpace="181" w:vSpace="181" w:wrap="around" w:hAnchor="page" w:x="1305" w:y="2436"/>
        <w:spacing w:line="240" w:lineRule="auto"/>
        <w:ind w:right="817" w:rightChars="389"/>
        <w:rPr>
          <w:rFonts w:ascii="黑体" w:hAnsi="黑体" w:eastAsia="黑体"/>
          <w:b w:val="0"/>
          <w:bCs w:val="0"/>
          <w:w w:val="100"/>
          <w:sz w:val="84"/>
          <w:szCs w:val="84"/>
          <w:highlight w:val="none"/>
        </w:rPr>
      </w:pPr>
      <w:bookmarkStart w:id="3" w:name="_Hlk26473981"/>
      <w:r>
        <w:rPr>
          <w:rFonts w:hint="eastAsia" w:ascii="黑体" w:hAnsi="黑体" w:eastAsia="黑体" w:cs="黑体"/>
          <w:b w:val="0"/>
          <w:bCs w:val="0"/>
          <w:sz w:val="48"/>
          <w:szCs w:val="48"/>
          <w:highlight w:val="none"/>
        </w:rPr>
        <w:t>中华人民共和国</w:t>
      </w:r>
      <w:bookmarkStart w:id="4" w:name="c2"/>
      <w:r>
        <w:rPr>
          <w:rFonts w:hint="eastAsia" w:ascii="黑体" w:hAnsi="黑体" w:eastAsia="黑体" w:cs="黑体"/>
          <w:b w:val="0"/>
          <w:bCs w:val="0"/>
          <w:sz w:val="48"/>
          <w:szCs w:val="48"/>
          <w:highlight w:val="none"/>
        </w:rPr>
        <w:fldChar w:fldCharType="begin">
          <w:ffData>
            <w:name w:val="c2"/>
            <w:enabled/>
            <w:calcOnExit w:val="0"/>
            <w:entryMacro w:val="showhelp11"/>
            <w:textInput/>
          </w:ffData>
        </w:fldChar>
      </w:r>
      <w:r>
        <w:rPr>
          <w:rFonts w:hint="eastAsia" w:ascii="黑体" w:hAnsi="黑体" w:eastAsia="黑体" w:cs="黑体"/>
          <w:b w:val="0"/>
          <w:bCs w:val="0"/>
          <w:sz w:val="48"/>
          <w:szCs w:val="48"/>
          <w:highlight w:val="none"/>
        </w:rPr>
        <w:instrText xml:space="preserve"> FORMTEXT </w:instrText>
      </w:r>
      <w:r>
        <w:rPr>
          <w:rFonts w:hint="eastAsia" w:ascii="黑体" w:hAnsi="黑体" w:eastAsia="黑体" w:cs="黑体"/>
          <w:b w:val="0"/>
          <w:bCs w:val="0"/>
          <w:sz w:val="48"/>
          <w:szCs w:val="48"/>
          <w:highlight w:val="none"/>
        </w:rPr>
        <w:fldChar w:fldCharType="separate"/>
      </w:r>
      <w:r>
        <w:rPr>
          <w:rFonts w:hint="eastAsia" w:ascii="黑体" w:hAnsi="黑体" w:eastAsia="黑体" w:cs="黑体"/>
          <w:b w:val="0"/>
          <w:bCs w:val="0"/>
          <w:sz w:val="48"/>
          <w:szCs w:val="48"/>
          <w:highlight w:val="none"/>
        </w:rPr>
        <w:t>电子</w:t>
      </w:r>
      <w:r>
        <w:rPr>
          <w:rFonts w:hint="eastAsia" w:ascii="黑体" w:hAnsi="黑体" w:eastAsia="黑体" w:cs="黑体"/>
          <w:b w:val="0"/>
          <w:bCs w:val="0"/>
          <w:sz w:val="48"/>
          <w:szCs w:val="48"/>
          <w:highlight w:val="none"/>
        </w:rPr>
        <w:fldChar w:fldCharType="end"/>
      </w:r>
      <w:bookmarkEnd w:id="4"/>
      <w:r>
        <w:rPr>
          <w:rFonts w:hint="eastAsia" w:ascii="黑体" w:hAnsi="黑体" w:eastAsia="黑体" w:cs="黑体"/>
          <w:b w:val="0"/>
          <w:bCs w:val="0"/>
          <w:sz w:val="48"/>
          <w:szCs w:val="48"/>
          <w:highlight w:val="none"/>
        </w:rPr>
        <w:t>行业标准</w:t>
      </w:r>
      <w:r>
        <w:rPr>
          <w:rFonts w:hint="eastAsia" w:ascii="黑体" w:hAnsi="黑体" w:eastAsia="黑体"/>
          <w:b w:val="0"/>
          <w:bCs w:val="0"/>
          <w:w w:val="100"/>
          <w:sz w:val="84"/>
          <w:szCs w:val="84"/>
          <w:highlight w:val="none"/>
        </w:rPr>
        <w:t xml:space="preserve"> </w:t>
      </w:r>
    </w:p>
    <w:bookmarkEnd w:id="3"/>
    <w:p>
      <w:pPr>
        <w:pStyle w:val="199"/>
        <w:framePr w:wrap="around" w:x="1431" w:y="3469"/>
        <w:rPr>
          <w:highlight w:val="none"/>
        </w:rPr>
      </w:pPr>
      <w:r>
        <w:rPr>
          <w:rFonts w:hint="eastAsia"/>
          <w:highlight w:val="none"/>
        </w:rPr>
        <w:t>SJ</w:t>
      </w:r>
      <w:r>
        <w:rPr>
          <w:highlight w:val="none"/>
        </w:rPr>
        <w:t>/</w:t>
      </w:r>
      <w:r>
        <w:rPr>
          <w:rFonts w:hint="eastAsia"/>
          <w:highlight w:val="none"/>
        </w:rPr>
        <w:t>T</w:t>
      </w:r>
      <w:r>
        <w:rPr>
          <w:highlight w:val="none"/>
        </w:rPr>
        <w:t xml:space="preserve"> </w:t>
      </w:r>
      <w:r>
        <w:rPr>
          <w:highlight w:val="none"/>
        </w:rPr>
        <w:fldChar w:fldCharType="begin">
          <w:ffData>
            <w:name w:val="NSTD_CODE_F"/>
            <w:enabled/>
            <w:calcOnExit w:val="0"/>
            <w:textInput>
              <w:default w:val="XXXX"/>
            </w:textInput>
          </w:ffData>
        </w:fldChar>
      </w:r>
      <w:bookmarkStart w:id="5" w:name="NSTD_CODE_F"/>
      <w:r>
        <w:rPr>
          <w:highlight w:val="none"/>
        </w:rPr>
        <w:instrText xml:space="preserve"> FORMTEXT </w:instrText>
      </w:r>
      <w:r>
        <w:rPr>
          <w:highlight w:val="none"/>
        </w:rPr>
        <w:fldChar w:fldCharType="separate"/>
      </w:r>
      <w:r>
        <w:rPr>
          <w:highlight w:val="none"/>
        </w:rPr>
        <w:t>XXXX</w:t>
      </w:r>
      <w:r>
        <w:rPr>
          <w:highlight w:val="none"/>
        </w:rPr>
        <w:fldChar w:fldCharType="end"/>
      </w:r>
      <w:bookmarkEnd w:id="5"/>
      <w:r>
        <w:rPr>
          <w:rFonts w:hAnsi="黑体"/>
          <w:highlight w:val="none"/>
        </w:rPr>
        <w:t>—</w:t>
      </w:r>
      <w:r>
        <w:rPr>
          <w:highlight w:val="none"/>
        </w:rPr>
        <w:t>202X</w:t>
      </w:r>
    </w:p>
    <w:p>
      <w:pPr>
        <w:pStyle w:val="200"/>
        <w:framePr w:wrap="around" w:x="1431" w:y="3469"/>
        <w:rPr>
          <w:rFonts w:hAnsi="黑体"/>
          <w:highlight w:val="none"/>
        </w:rPr>
      </w:pPr>
      <w:r>
        <w:rPr>
          <w:rFonts w:hAnsi="黑体"/>
          <w:highlight w:val="none"/>
        </w:rPr>
        <w:fldChar w:fldCharType="begin">
          <w:ffData>
            <w:name w:val="OSTD_CODE"/>
            <w:enabled/>
            <w:calcOnExit w:val="0"/>
            <w:textInput/>
          </w:ffData>
        </w:fldChar>
      </w:r>
      <w:bookmarkStart w:id="6" w:name="OSTD_CODE"/>
      <w:r>
        <w:rPr>
          <w:rFonts w:hAnsi="黑体"/>
          <w:highlight w:val="none"/>
        </w:rPr>
        <w:instrText xml:space="preserve"> FORMTEXT </w:instrText>
      </w:r>
      <w:r>
        <w:rPr>
          <w:rFonts w:hAnsi="黑体"/>
          <w:highlight w:val="none"/>
        </w:rPr>
        <w:fldChar w:fldCharType="separate"/>
      </w:r>
      <w:r>
        <w:rPr>
          <w:rFonts w:hAnsi="黑体"/>
          <w:highlight w:val="none"/>
        </w:rPr>
        <w:t>     </w:t>
      </w:r>
      <w:r>
        <w:rPr>
          <w:rFonts w:hAnsi="黑体"/>
          <w:highlight w:val="none"/>
        </w:rPr>
        <w:fldChar w:fldCharType="end"/>
      </w:r>
      <w:bookmarkEnd w:id="6"/>
    </w:p>
    <w:p>
      <w:pPr>
        <w:spacing w:line="240" w:lineRule="auto"/>
        <w:rPr>
          <w:rFonts w:ascii="黑体" w:hAnsi="黑体" w:eastAsia="黑体"/>
          <w:kern w:val="0"/>
          <w:sz w:val="10"/>
          <w:szCs w:val="10"/>
          <w:highlight w:val="none"/>
        </w:rPr>
      </w:pPr>
      <w:r>
        <w:rPr>
          <w:rFonts w:ascii="黑体" w:hAnsi="黑体" w:eastAsia="黑体"/>
          <w:kern w:val="0"/>
          <w:sz w:val="10"/>
          <w:szCs w:val="10"/>
          <w:highlight w:val="none"/>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highlight w:val="none"/>
        </w:rPr>
      </w:pPr>
    </w:p>
    <w:p>
      <w:pPr>
        <w:pStyle w:val="201"/>
        <w:framePr w:h="6974" w:hRule="exact" w:wrap="around" w:x="1419" w:anchorLock="1"/>
        <w:rPr>
          <w:highlight w:val="none"/>
        </w:rPr>
      </w:pPr>
      <w:bookmarkStart w:id="7" w:name="CSTD_NAME"/>
      <w:r>
        <w:rPr>
          <w:rFonts w:ascii="黑体" w:hAnsi="黑体" w:eastAsia="黑体" w:cs="Times New Roman"/>
          <w:bCs/>
          <w:sz w:val="52"/>
          <w:highlight w:val="none"/>
          <w:lang w:val="en-US" w:eastAsia="zh-CN" w:bidi="ar-SA"/>
        </w:rPr>
        <w:fldChar w:fldCharType="begin">
          <w:ffData>
            <w:name w:val="CSTD_NAME"/>
            <w:enabled/>
            <w:calcOnExit w:val="0"/>
            <w:textInput>
              <w:default w:val="产品碳足迹  产品种类规则  光伏组件"/>
            </w:textInput>
          </w:ffData>
        </w:fldChar>
      </w:r>
      <w:r>
        <w:rPr>
          <w:rFonts w:ascii="黑体" w:hAnsi="黑体" w:eastAsia="黑体" w:cs="Times New Roman"/>
          <w:bCs/>
          <w:sz w:val="52"/>
          <w:highlight w:val="none"/>
          <w:lang w:val="en-US" w:eastAsia="zh-CN" w:bidi="ar-SA"/>
        </w:rPr>
        <w:instrText xml:space="preserve">FORMTEXT</w:instrText>
      </w:r>
      <w:r>
        <w:rPr>
          <w:rFonts w:ascii="黑体" w:hAnsi="黑体" w:eastAsia="黑体" w:cs="Times New Roman"/>
          <w:bCs/>
          <w:sz w:val="52"/>
          <w:highlight w:val="none"/>
          <w:lang w:val="en-US" w:eastAsia="zh-CN" w:bidi="ar-SA"/>
        </w:rPr>
        <w:fldChar w:fldCharType="separate"/>
      </w:r>
      <w:r>
        <w:rPr>
          <w:rFonts w:ascii="黑体" w:hAnsi="黑体" w:eastAsia="黑体" w:cs="Times New Roman"/>
          <w:bCs/>
          <w:sz w:val="52"/>
          <w:highlight w:val="none"/>
          <w:lang w:val="en-US" w:eastAsia="zh-CN" w:bidi="ar-SA"/>
        </w:rPr>
        <w:t>产品碳足迹  产品种类规则  光伏组件</w:t>
      </w:r>
      <w:r>
        <w:rPr>
          <w:rFonts w:ascii="黑体" w:hAnsi="黑体" w:eastAsia="黑体" w:cs="Times New Roman"/>
          <w:bCs/>
          <w:sz w:val="52"/>
          <w:highlight w:val="none"/>
          <w:lang w:val="en-US" w:eastAsia="zh-CN" w:bidi="ar-SA"/>
        </w:rPr>
        <w:fldChar w:fldCharType="end"/>
      </w:r>
      <w:bookmarkEnd w:id="7"/>
    </w:p>
    <w:p>
      <w:pPr>
        <w:framePr w:w="9639" w:h="6974" w:hRule="exact" w:wrap="around" w:vAnchor="page" w:hAnchor="page" w:x="1419" w:y="6408" w:anchorLock="1"/>
        <w:ind w:left="-1418"/>
        <w:rPr>
          <w:highlight w:val="none"/>
        </w:rPr>
      </w:pPr>
    </w:p>
    <w:p>
      <w:pPr>
        <w:pStyle w:val="129"/>
        <w:framePr w:w="9639" w:h="6974" w:hRule="exact" w:wrap="around" w:vAnchor="page" w:hAnchor="page" w:x="1419" w:y="6408" w:anchorLock="1"/>
        <w:textAlignment w:val="bottom"/>
        <w:rPr>
          <w:rFonts w:eastAsia="黑体"/>
          <w:szCs w:val="28"/>
          <w:highlight w:val="none"/>
        </w:rPr>
      </w:pPr>
      <w:bookmarkStart w:id="8" w:name="ESTD_NAME"/>
      <w:r>
        <w:rPr>
          <w:rFonts w:hint="eastAsia" w:ascii="黑体" w:hAnsi="黑体" w:eastAsia="黑体" w:cs="黑体"/>
          <w:sz w:val="28"/>
          <w:szCs w:val="28"/>
          <w:highlight w:val="none"/>
          <w:lang w:val="en-US" w:eastAsia="zh-CN" w:bidi="ar-SA"/>
        </w:rPr>
        <w:fldChar w:fldCharType="begin">
          <w:ffData>
            <w:name w:val="ESTD_NAME"/>
            <w:enabled/>
            <w:calcOnExit w:val="0"/>
            <w:textInput>
              <w:default w:val="Product carbon footprint—Product category rules—Photovoltaic modules"/>
            </w:textInput>
          </w:ffData>
        </w:fldChar>
      </w:r>
      <w:r>
        <w:rPr>
          <w:rFonts w:hint="eastAsia" w:ascii="黑体" w:hAnsi="黑体" w:eastAsia="黑体" w:cs="黑体"/>
          <w:sz w:val="28"/>
          <w:szCs w:val="28"/>
          <w:highlight w:val="none"/>
          <w:lang w:val="en-US" w:eastAsia="zh-CN" w:bidi="ar-SA"/>
        </w:rPr>
        <w:instrText xml:space="preserve">FORMTEXT</w:instrText>
      </w:r>
      <w:r>
        <w:rPr>
          <w:rFonts w:hint="eastAsia" w:ascii="黑体" w:hAnsi="黑体" w:eastAsia="黑体" w:cs="黑体"/>
          <w:sz w:val="28"/>
          <w:szCs w:val="28"/>
          <w:highlight w:val="none"/>
          <w:lang w:val="en-US" w:eastAsia="zh-CN" w:bidi="ar-SA"/>
        </w:rPr>
        <w:fldChar w:fldCharType="separate"/>
      </w:r>
      <w:r>
        <w:rPr>
          <w:rFonts w:hint="eastAsia" w:ascii="黑体" w:hAnsi="黑体" w:eastAsia="黑体" w:cs="黑体"/>
          <w:sz w:val="28"/>
          <w:szCs w:val="28"/>
          <w:highlight w:val="none"/>
          <w:lang w:val="en-US" w:eastAsia="zh-CN" w:bidi="ar-SA"/>
        </w:rPr>
        <w:t>Product carbon footprint—Product category rules—Photovoltaic modules</w:t>
      </w:r>
      <w:r>
        <w:rPr>
          <w:rFonts w:hint="eastAsia" w:ascii="黑体" w:hAnsi="黑体" w:eastAsia="黑体" w:cs="黑体"/>
          <w:sz w:val="28"/>
          <w:szCs w:val="28"/>
          <w:highlight w:val="none"/>
          <w:lang w:val="en-US" w:eastAsia="zh-CN" w:bidi="ar-SA"/>
        </w:rPr>
        <w:fldChar w:fldCharType="end"/>
      </w:r>
      <w:bookmarkEnd w:id="8"/>
    </w:p>
    <w:p>
      <w:pPr>
        <w:framePr w:w="9639" w:h="6974" w:hRule="exact" w:wrap="around" w:vAnchor="page" w:hAnchor="page" w:x="1419" w:y="6408" w:anchorLock="1"/>
        <w:spacing w:line="760" w:lineRule="exact"/>
        <w:ind w:left="-1418"/>
        <w:rPr>
          <w:highlight w:val="none"/>
        </w:rPr>
      </w:pPr>
    </w:p>
    <w:p>
      <w:pPr>
        <w:pStyle w:val="129"/>
        <w:framePr w:w="9639" w:h="6974" w:hRule="exact" w:wrap="around" w:vAnchor="page" w:hAnchor="page" w:x="1419" w:y="6408" w:anchorLock="1"/>
        <w:textAlignment w:val="bottom"/>
        <w:rPr>
          <w:rFonts w:eastAsia="黑体"/>
          <w:szCs w:val="28"/>
          <w:highlight w:val="none"/>
        </w:rPr>
      </w:pPr>
    </w:p>
    <w:p>
      <w:pPr>
        <w:pStyle w:val="129"/>
        <w:framePr w:w="9639" w:h="6974" w:hRule="exact" w:wrap="around" w:vAnchor="page" w:hAnchor="page" w:x="1419" w:y="6408" w:anchorLock="1"/>
        <w:spacing w:before="440" w:after="160"/>
        <w:textAlignment w:val="bottom"/>
        <w:rPr>
          <w:rFonts w:hint="eastAsia" w:eastAsia="宋体"/>
          <w:sz w:val="24"/>
          <w:szCs w:val="28"/>
          <w:highlight w:val="none"/>
          <w:lang w:val="en-US" w:eastAsia="zh-CN"/>
        </w:rPr>
      </w:pPr>
      <w:r>
        <w:rPr>
          <w:rFonts w:hint="eastAsia"/>
          <w:sz w:val="24"/>
          <w:szCs w:val="28"/>
          <w:highlight w:val="none"/>
          <w:lang w:val="en-US" w:eastAsia="zh-CN"/>
        </w:rPr>
        <w:t>（征求意见稿）</w:t>
      </w:r>
    </w:p>
    <w:p>
      <w:pPr>
        <w:pStyle w:val="129"/>
        <w:framePr w:w="9639" w:h="6974" w:hRule="exact" w:wrap="around" w:vAnchor="page" w:hAnchor="page" w:x="1419" w:y="6408" w:anchorLock="1"/>
        <w:spacing w:before="180" w:line="240" w:lineRule="atLeast"/>
        <w:textAlignment w:val="bottom"/>
        <w:rPr>
          <w:sz w:val="21"/>
          <w:szCs w:val="28"/>
          <w:highlight w:val="none"/>
        </w:rPr>
      </w:pPr>
      <w:r>
        <w:rPr>
          <w:sz w:val="21"/>
          <w:szCs w:val="28"/>
          <w:highlight w:val="none"/>
        </w:rPr>
        <w:fldChar w:fldCharType="begin">
          <w:ffData>
            <w:name w:val="CMPLSH_DATE"/>
            <w:enabled/>
            <w:calcOnExit w:val="0"/>
            <w:textInput/>
          </w:ffData>
        </w:fldChar>
      </w:r>
      <w:bookmarkStart w:id="9" w:name="CMPLSH_DATE"/>
      <w:r>
        <w:rPr>
          <w:sz w:val="21"/>
          <w:szCs w:val="28"/>
          <w:highlight w:val="none"/>
        </w:rPr>
        <w:instrText xml:space="preserve"> FORMTEXT </w:instrText>
      </w:r>
      <w:r>
        <w:rPr>
          <w:sz w:val="21"/>
          <w:szCs w:val="28"/>
          <w:highlight w:val="none"/>
        </w:rPr>
        <w:fldChar w:fldCharType="separate"/>
      </w:r>
      <w:r>
        <w:rPr>
          <w:sz w:val="21"/>
          <w:szCs w:val="28"/>
          <w:highlight w:val="none"/>
        </w:rPr>
        <w:t>     </w:t>
      </w:r>
      <w:r>
        <w:rPr>
          <w:sz w:val="21"/>
          <w:szCs w:val="28"/>
          <w:highlight w:val="none"/>
        </w:rPr>
        <w:fldChar w:fldCharType="end"/>
      </w:r>
      <w:bookmarkEnd w:id="9"/>
    </w:p>
    <w:p>
      <w:pPr>
        <w:pStyle w:val="129"/>
        <w:framePr w:w="9639" w:h="6974" w:hRule="exact" w:wrap="around" w:vAnchor="page" w:hAnchor="page" w:x="1419" w:y="6408" w:anchorLock="1"/>
        <w:spacing w:before="720" w:beforeLines="300" w:after="72" w:afterLines="30" w:line="240" w:lineRule="auto"/>
        <w:textAlignment w:val="bottom"/>
        <w:rPr>
          <w:b/>
          <w:sz w:val="21"/>
          <w:szCs w:val="28"/>
          <w:highlight w:val="none"/>
        </w:rPr>
      </w:pPr>
      <w:r>
        <w:rPr>
          <w:b/>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highlight w:val="none"/>
        </w:rPr>
        <w:instrText xml:space="preserve"> FORMDROPDOWN </w:instrText>
      </w:r>
      <w:r>
        <w:rPr>
          <w:b/>
          <w:sz w:val="21"/>
          <w:szCs w:val="28"/>
          <w:highlight w:val="none"/>
        </w:rPr>
        <w:fldChar w:fldCharType="separate"/>
      </w:r>
      <w:r>
        <w:rPr>
          <w:b/>
          <w:sz w:val="21"/>
          <w:szCs w:val="28"/>
          <w:highlight w:val="none"/>
        </w:rPr>
        <w:fldChar w:fldCharType="end"/>
      </w:r>
      <w:bookmarkEnd w:id="10"/>
    </w:p>
    <w:p>
      <w:pPr>
        <w:pStyle w:val="197"/>
        <w:framePr w:wrap="around" w:y="14176"/>
        <w:rPr>
          <w:highlight w:val="none"/>
        </w:rPr>
      </w:pPr>
      <w:r>
        <w:rPr>
          <w:rFonts w:ascii="黑体"/>
          <w:highlight w:val="none"/>
        </w:rPr>
        <w:fldChar w:fldCharType="begin">
          <w:ffData>
            <w:name w:val="PLSH_DATE_Y"/>
            <w:enabled/>
            <w:calcOnExit w:val="0"/>
            <w:textInput>
              <w:default w:val="XXXX"/>
              <w:maxLength w:val="4"/>
            </w:textInput>
          </w:ffData>
        </w:fldChar>
      </w:r>
      <w:bookmarkStart w:id="11" w:name="PLSH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1"/>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M"/>
            <w:enabled/>
            <w:calcOnExit w:val="0"/>
            <w:textInput>
              <w:default w:val="XX"/>
              <w:maxLength w:val="2"/>
            </w:textInput>
          </w:ffData>
        </w:fldChar>
      </w:r>
      <w:bookmarkStart w:id="12" w:name="PLSH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2"/>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PLSH_DATE_D"/>
            <w:enabled/>
            <w:calcOnExit w:val="0"/>
            <w:textInput>
              <w:default w:val="XX"/>
              <w:maxLength w:val="2"/>
            </w:textInput>
          </w:ffData>
        </w:fldChar>
      </w:r>
      <w:bookmarkStart w:id="13" w:name="PLSH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3"/>
      <w:r>
        <w:rPr>
          <w:rFonts w:hint="eastAsia"/>
          <w:highlight w:val="none"/>
        </w:rPr>
        <w:t>发布</w:t>
      </w:r>
    </w:p>
    <w:p>
      <w:pPr>
        <w:pStyle w:val="198"/>
        <w:framePr w:wrap="around" w:y="14176"/>
        <w:rPr>
          <w:highlight w:val="none"/>
        </w:rPr>
      </w:pPr>
      <w:r>
        <w:rPr>
          <w:rFonts w:ascii="黑体"/>
          <w:highlight w:val="none"/>
        </w:rPr>
        <w:fldChar w:fldCharType="begin">
          <w:ffData>
            <w:name w:val="CROT_DATE_Y"/>
            <w:enabled/>
            <w:calcOnExit w:val="0"/>
            <w:textInput>
              <w:default w:val="XXXX"/>
              <w:maxLength w:val="4"/>
            </w:textInput>
          </w:ffData>
        </w:fldChar>
      </w:r>
      <w:bookmarkStart w:id="14" w:name="CROT_DATE_Y"/>
      <w:r>
        <w:rPr>
          <w:rFonts w:ascii="黑体"/>
          <w:highlight w:val="none"/>
        </w:rPr>
        <w:instrText xml:space="preserve"> FORMTEXT </w:instrText>
      </w:r>
      <w:r>
        <w:rPr>
          <w:rFonts w:ascii="黑体"/>
          <w:highlight w:val="none"/>
        </w:rPr>
        <w:fldChar w:fldCharType="separate"/>
      </w:r>
      <w:r>
        <w:rPr>
          <w:rFonts w:ascii="黑体"/>
          <w:highlight w:val="none"/>
        </w:rPr>
        <w:t>XXXX</w:t>
      </w:r>
      <w:r>
        <w:rPr>
          <w:rFonts w:ascii="黑体"/>
          <w:highlight w:val="none"/>
        </w:rPr>
        <w:fldChar w:fldCharType="end"/>
      </w:r>
      <w:bookmarkEnd w:id="14"/>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M"/>
            <w:enabled/>
            <w:calcOnExit w:val="0"/>
            <w:textInput>
              <w:default w:val="XX"/>
              <w:maxLength w:val="2"/>
            </w:textInput>
          </w:ffData>
        </w:fldChar>
      </w:r>
      <w:bookmarkStart w:id="15" w:name="CROT_DATE_M"/>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5"/>
      <w:r>
        <w:rPr>
          <w:highlight w:val="none"/>
        </w:rPr>
        <w:t xml:space="preserve"> </w:t>
      </w:r>
      <w:r>
        <w:rPr>
          <w:rFonts w:ascii="黑体"/>
          <w:highlight w:val="none"/>
        </w:rPr>
        <w:t>-</w:t>
      </w:r>
      <w:r>
        <w:rPr>
          <w:highlight w:val="none"/>
        </w:rPr>
        <w:t xml:space="preserve"> </w:t>
      </w:r>
      <w:r>
        <w:rPr>
          <w:rFonts w:ascii="黑体"/>
          <w:highlight w:val="none"/>
        </w:rPr>
        <w:fldChar w:fldCharType="begin">
          <w:ffData>
            <w:name w:val="CROT_DATE_D"/>
            <w:enabled/>
            <w:calcOnExit w:val="0"/>
            <w:textInput>
              <w:default w:val="XX"/>
              <w:maxLength w:val="2"/>
            </w:textInput>
          </w:ffData>
        </w:fldChar>
      </w:r>
      <w:bookmarkStart w:id="16" w:name="CROT_DATE_D"/>
      <w:r>
        <w:rPr>
          <w:rFonts w:ascii="黑体"/>
          <w:highlight w:val="none"/>
        </w:rPr>
        <w:instrText xml:space="preserve"> FORMTEXT </w:instrText>
      </w:r>
      <w:r>
        <w:rPr>
          <w:rFonts w:ascii="黑体"/>
          <w:highlight w:val="none"/>
        </w:rPr>
        <w:fldChar w:fldCharType="separate"/>
      </w:r>
      <w:r>
        <w:rPr>
          <w:rFonts w:ascii="黑体"/>
          <w:highlight w:val="none"/>
        </w:rPr>
        <w:t>XX</w:t>
      </w:r>
      <w:r>
        <w:rPr>
          <w:rFonts w:ascii="黑体"/>
          <w:highlight w:val="none"/>
        </w:rPr>
        <w:fldChar w:fldCharType="end"/>
      </w:r>
      <w:bookmarkEnd w:id="16"/>
      <w:r>
        <w:rPr>
          <w:rFonts w:hint="eastAsia"/>
          <w:highlight w:val="none"/>
        </w:rPr>
        <w:t>实施</w:t>
      </w:r>
    </w:p>
    <w:p>
      <w:pPr>
        <w:framePr w:wrap="around" w:vAnchor="page" w:hAnchor="page" w:x="2169" w:y="15086"/>
        <w:spacing w:line="0" w:lineRule="atLeast"/>
        <w:jc w:val="center"/>
        <w:rPr>
          <w:rFonts w:ascii="黑体" w:hAnsi="Times New Roman" w:eastAsia="黑体"/>
          <w:spacing w:val="20"/>
          <w:w w:val="135"/>
          <w:sz w:val="28"/>
          <w:highlight w:val="none"/>
        </w:rPr>
      </w:pPr>
      <w:bookmarkStart w:id="17" w:name="fm"/>
      <w:r>
        <w:rPr>
          <w:rFonts w:ascii="黑体" w:hAnsi="Times New Roman" w:eastAsia="黑体"/>
          <w:spacing w:val="20"/>
          <w:w w:val="135"/>
          <w:sz w:val="28"/>
          <w:highlight w:val="none"/>
        </w:rPr>
        <w:fldChar w:fldCharType="begin">
          <w:ffData>
            <w:name w:val="fm"/>
            <w:enabled/>
            <w:calcOnExit w:val="0"/>
            <w:textInput/>
          </w:ffData>
        </w:fldChar>
      </w:r>
      <w:r>
        <w:rPr>
          <w:rFonts w:ascii="黑体" w:hAnsi="Times New Roman" w:eastAsia="黑体"/>
          <w:spacing w:val="20"/>
          <w:w w:val="135"/>
          <w:sz w:val="28"/>
          <w:highlight w:val="none"/>
        </w:rPr>
        <w:instrText xml:space="preserve"> FORMTEXT </w:instrText>
      </w:r>
      <w:r>
        <w:rPr>
          <w:rFonts w:ascii="黑体" w:hAnsi="Times New Roman" w:eastAsia="黑体"/>
          <w:spacing w:val="20"/>
          <w:w w:val="135"/>
          <w:sz w:val="28"/>
          <w:highlight w:val="none"/>
        </w:rPr>
        <w:fldChar w:fldCharType="separate"/>
      </w:r>
      <w:r>
        <w:rPr>
          <w:rFonts w:hint="eastAsia" w:ascii="黑体" w:hAnsi="Times New Roman" w:eastAsia="黑体"/>
          <w:spacing w:val="20"/>
          <w:w w:val="135"/>
          <w:sz w:val="28"/>
          <w:highlight w:val="none"/>
        </w:rPr>
        <w:t>中华人民共和国工业和信息化部</w:t>
      </w:r>
      <w:r>
        <w:rPr>
          <w:rFonts w:ascii="黑体" w:hAnsi="Times New Roman" w:eastAsia="黑体"/>
          <w:spacing w:val="20"/>
          <w:w w:val="135"/>
          <w:sz w:val="28"/>
          <w:highlight w:val="none"/>
        </w:rPr>
        <w:fldChar w:fldCharType="end"/>
      </w:r>
      <w:bookmarkEnd w:id="17"/>
      <w:r>
        <w:rPr>
          <w:rFonts w:hint="eastAsia" w:ascii="MS Mincho" w:hAnsi="MS Mincho" w:eastAsia="MS Mincho" w:cs="MS Mincho"/>
          <w:spacing w:val="20"/>
          <w:w w:val="135"/>
          <w:sz w:val="28"/>
          <w:highlight w:val="none"/>
        </w:rPr>
        <w:t>   </w:t>
      </w:r>
      <w:r>
        <w:rPr>
          <w:rFonts w:hint="eastAsia" w:ascii="黑体" w:hAnsi="Times New Roman" w:eastAsia="黑体"/>
          <w:spacing w:val="85"/>
          <w:position w:val="3"/>
          <w:sz w:val="28"/>
          <w:szCs w:val="28"/>
          <w:highlight w:val="none"/>
        </w:rPr>
        <w:t>发布</w:t>
      </w:r>
    </w:p>
    <w:p>
      <w:pPr>
        <w:pStyle w:val="155"/>
        <w:framePr w:wrap="around" w:vAnchor="page" w:hAnchor="page" w:x="2707" w:y="14873"/>
        <w:rPr>
          <w:highlight w:val="none"/>
        </w:rPr>
      </w:pPr>
    </w:p>
    <w:p>
      <w:pPr>
        <w:rPr>
          <w:rFonts w:ascii="宋体" w:hAnsi="宋体"/>
          <w:sz w:val="28"/>
          <w:szCs w:val="28"/>
          <w:highlight w:val="none"/>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highlight w:val="none"/>
        </w:rPr>
        <mc:AlternateContent>
          <mc:Choice Requires="wps">
            <w:drawing>
              <wp:anchor distT="0" distB="0" distL="114300" distR="114300" simplePos="0" relativeHeight="251664384" behindDoc="0" locked="0" layoutInCell="1" allowOverlap="1">
                <wp:simplePos x="0" y="0"/>
                <wp:positionH relativeFrom="column">
                  <wp:posOffset>2370455</wp:posOffset>
                </wp:positionH>
                <wp:positionV relativeFrom="paragraph">
                  <wp:posOffset>9638030</wp:posOffset>
                </wp:positionV>
                <wp:extent cx="3609975" cy="742315"/>
                <wp:effectExtent l="0" t="0" r="9525" b="635"/>
                <wp:wrapNone/>
                <wp:docPr id="3" name="文本框 3"/>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pStyle w:val="155"/>
                            </w:pPr>
                            <w:r>
                              <w:rPr>
                                <w:rFonts w:hint="eastAsia"/>
                              </w:rPr>
                              <w:t>国家市场监督管理总局</w:t>
                            </w:r>
                          </w:p>
                          <w:p>
                            <w:pPr>
                              <w:pStyle w:val="155"/>
                            </w:pPr>
                            <w:r>
                              <w:rPr>
                                <w:rFonts w:hint="eastAsia"/>
                              </w:rPr>
                              <w:t>国家标准化管理委员会</w:t>
                            </w:r>
                          </w:p>
                        </w:txbxContent>
                      </wps:txbx>
                      <wps:bodyPr upright="1"/>
                    </wps:wsp>
                  </a:graphicData>
                </a:graphic>
              </wp:anchor>
            </w:drawing>
          </mc:Choice>
          <mc:Fallback>
            <w:pict>
              <v:shape id="_x0000_s1026" o:spid="_x0000_s1026" o:spt="202" type="#_x0000_t202" style="position:absolute;left:0pt;margin-left:186.65pt;margin-top:758.9pt;height:58.45pt;width:284.25pt;z-index:251664384;mso-width-relative:page;mso-height-relative:page;" fillcolor="#FFFFFF" filled="t" stroked="f" coordsize="21600,21600" o:gfxdata="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Cx6eXZAAAADQEAAA8AAAAAAAAAAQAgAAAAIgAAAGRycy9kb3ducmV2LnhtbFBLAQIUABQAAAAI&#10;AIdO4kC9tGhZswEAAEADAAAOAAAAAAAAAAEAIAAAACgBAABkcnMvZTJvRG9jLnhtbFBLBQYAAAAA&#10;BgAGAFkBAABNBQAAAAA=&#10;">
                <v:fill on="t" focussize="0,0"/>
                <v:stroke on="f"/>
                <v:imagedata o:title=""/>
                <o:lock v:ext="edit" aspectratio="f"/>
                <v:textbox>
                  <w:txbxContent>
                    <w:p>
                      <w:pPr>
                        <w:pStyle w:val="155"/>
                      </w:pPr>
                      <w:r>
                        <w:rPr>
                          <w:rFonts w:hint="eastAsia"/>
                        </w:rPr>
                        <w:t>国家市场监督管理总局</w:t>
                      </w:r>
                    </w:p>
                    <w:p>
                      <w:pPr>
                        <w:pStyle w:val="155"/>
                      </w:pPr>
                      <w:r>
                        <w:rPr>
                          <w:rFonts w:hint="eastAsia"/>
                        </w:rPr>
                        <w:t>国家标准化管理委员会</w:t>
                      </w:r>
                    </w:p>
                  </w:txbxContent>
                </v:textbox>
              </v:shap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olumn">
                  <wp:posOffset>2218055</wp:posOffset>
                </wp:positionH>
                <wp:positionV relativeFrom="paragraph">
                  <wp:posOffset>9485630</wp:posOffset>
                </wp:positionV>
                <wp:extent cx="3609975" cy="742315"/>
                <wp:effectExtent l="0" t="0" r="9525" b="635"/>
                <wp:wrapNone/>
                <wp:docPr id="2" name="文本框 2"/>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wps:txbx>
                      <wps:bodyPr upright="1"/>
                    </wps:wsp>
                  </a:graphicData>
                </a:graphic>
              </wp:anchor>
            </w:drawing>
          </mc:Choice>
          <mc:Fallback>
            <w:pict>
              <v:shape id="_x0000_s1026" o:spid="_x0000_s1026" o:spt="202" type="#_x0000_t202" style="position:absolute;left:0pt;margin-left:174.65pt;margin-top:746.9pt;height:58.45pt;width:284.25pt;z-index:251663360;mso-width-relative:page;mso-height-relative:page;" fillcolor="#FFFFFF" filled="t" stroked="f" coordsize="21600,21600" o:gfxdata="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F6&#10;z7PXAAAADQEAAA8AAAAAAAAAAQAgAAAAIgAAAGRycy9kb3ducmV2LnhtbFBLAQIUABQAAAAIAIdO&#10;4kD9lY4CsgEAAEADAAAOAAAAAAAAAAEAIAAAACYBAABkcnMvZTJvRG9jLnhtbFBLBQYAAAAABgAG&#10;AFkBAABKBQAAAAA=&#10;">
                <v:fill on="t" focussize="0,0"/>
                <v:stroke on="f"/>
                <v:imagedata o:title=""/>
                <o:lock v:ext="edit" aspectratio="f"/>
                <v:textbo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2065655</wp:posOffset>
                </wp:positionH>
                <wp:positionV relativeFrom="paragraph">
                  <wp:posOffset>9333230</wp:posOffset>
                </wp:positionV>
                <wp:extent cx="3609975" cy="742315"/>
                <wp:effectExtent l="0" t="0" r="9525" b="635"/>
                <wp:wrapNone/>
                <wp:docPr id="9" name="文本框 9"/>
                <wp:cNvGraphicFramePr/>
                <a:graphic xmlns:a="http://schemas.openxmlformats.org/drawingml/2006/main">
                  <a:graphicData uri="http://schemas.microsoft.com/office/word/2010/wordprocessingShape">
                    <wps:wsp>
                      <wps:cNvSpPr txBox="1"/>
                      <wps:spPr>
                        <a:xfrm>
                          <a:off x="0" y="0"/>
                          <a:ext cx="3609975" cy="742315"/>
                        </a:xfrm>
                        <a:prstGeom prst="rect">
                          <a:avLst/>
                        </a:prstGeom>
                        <a:solidFill>
                          <a:srgbClr val="FFFFFF"/>
                        </a:solidFill>
                        <a:ln w="9525">
                          <a:noFill/>
                        </a:ln>
                        <a:effectLst/>
                      </wps:spPr>
                      <wps:txb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wps:txbx>
                      <wps:bodyPr upright="1"/>
                    </wps:wsp>
                  </a:graphicData>
                </a:graphic>
              </wp:anchor>
            </w:drawing>
          </mc:Choice>
          <mc:Fallback>
            <w:pict>
              <v:shape id="_x0000_s1026" o:spid="_x0000_s1026" o:spt="202" type="#_x0000_t202" style="position:absolute;left:0pt;margin-left:162.65pt;margin-top:734.9pt;height:58.45pt;width:284.25pt;z-index:251662336;mso-width-relative:page;mso-height-relative:page;" fillcolor="#FFFFFF" filled="t" stroked="f" coordsize="21600,21600" o:gfxdata="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r4NmNkAAAANAQAADwAAAAAAAAABACAAAAAiAAAAZHJzL2Rvd25yZXYueG1sUEsBAhQAFAAAAAgA&#10;h07iQP72BlyyAQAAQAMAAA4AAAAAAAAAAQAgAAAAKAEAAGRycy9lMm9Eb2MueG1sUEsFBgAAAAAG&#10;AAYAWQEAAEwFAAAAAA==&#10;">
                <v:fill on="t" focussize="0,0"/>
                <v:stroke on="f"/>
                <v:imagedata o:title=""/>
                <o:lock v:ext="edit" aspectratio="f"/>
                <v:textbox>
                  <w:txbxContent>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国家市场监督管理总局</w:t>
                      </w:r>
                    </w:p>
                    <w:p>
                      <w:pPr>
                        <w:spacing w:line="500" w:lineRule="exact"/>
                        <w:jc w:val="distribute"/>
                        <w:rPr>
                          <w:rFonts w:ascii="华文中宋" w:hAnsi="华文中宋" w:eastAsia="华文中宋" w:cs="华文中宋"/>
                          <w:b/>
                          <w:bCs/>
                          <w:sz w:val="40"/>
                          <w:szCs w:val="48"/>
                        </w:rPr>
                      </w:pPr>
                      <w:r>
                        <w:rPr>
                          <w:rFonts w:hint="eastAsia" w:ascii="华文中宋" w:hAnsi="华文中宋" w:eastAsia="华文中宋" w:cs="华文中宋"/>
                          <w:b/>
                          <w:bCs/>
                          <w:sz w:val="40"/>
                          <w:szCs w:val="48"/>
                        </w:rPr>
                        <w:t>国家标准化管理委员会</w:t>
                      </w:r>
                    </w:p>
                  </w:txbxContent>
                </v:textbox>
              </v:shape>
            </w:pict>
          </mc:Fallback>
        </mc:AlternateContent>
      </w:r>
      <w:r>
        <w:rPr>
          <w:rFonts w:hint="eastAsia" w:ascii="宋体" w:hAnsi="宋体"/>
          <w:sz w:val="28"/>
          <w:szCs w:val="28"/>
          <w:highlight w:val="none"/>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4"/>
        <w:spacing w:before="567" w:after="680" w:afterLines="0"/>
        <w:rPr>
          <w:highlight w:val="none"/>
        </w:rPr>
      </w:pPr>
      <w:bookmarkStart w:id="18" w:name="BookMark1"/>
      <w:bookmarkStart w:id="19" w:name="_Toc79504496"/>
      <w:bookmarkStart w:id="20" w:name="_Toc14189"/>
      <w:bookmarkStart w:id="21" w:name="_Toc79045634"/>
      <w:r>
        <w:rPr>
          <w:rFonts w:hint="eastAsia"/>
          <w:spacing w:val="320"/>
          <w:highlight w:val="none"/>
        </w:rPr>
        <w:t>目</w:t>
      </w:r>
      <w:r>
        <w:rPr>
          <w:rFonts w:hint="eastAsia"/>
          <w:highlight w:val="none"/>
        </w:rPr>
        <w:t>次</w:t>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TOC \o "1-1" \h \t "标准文件_一级条标题,2,标准文件_附录一级条标题,2,"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_Toc6439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highlight w:val="none"/>
        </w:rPr>
        <w:t xml:space="preserve">1 </w:t>
      </w:r>
      <w:r>
        <w:rPr>
          <w:rFonts w:hint="eastAsia" w:hAnsi="宋体" w:cs="宋体"/>
          <w:i w:val="0"/>
          <w:sz w:val="21"/>
          <w:szCs w:val="21"/>
          <w:highlight w:val="none"/>
          <w:lang w:val="en-US" w:eastAsia="zh-CN"/>
        </w:rPr>
        <w:t xml:space="preserve"> </w:t>
      </w:r>
      <w:r>
        <w:rPr>
          <w:rFonts w:hint="eastAsia" w:ascii="宋体" w:hAnsi="宋体" w:eastAsia="宋体" w:cs="宋体"/>
          <w:sz w:val="21"/>
          <w:szCs w:val="21"/>
          <w:highlight w:val="none"/>
        </w:rPr>
        <w:t>范围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_Toc6439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_Toc11507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highlight w:val="none"/>
        </w:rPr>
        <w:t xml:space="preserve">2 </w:t>
      </w:r>
      <w:r>
        <w:rPr>
          <w:rFonts w:hint="eastAsia" w:hAnsi="宋体" w:cs="宋体"/>
          <w:i w:val="0"/>
          <w:sz w:val="21"/>
          <w:szCs w:val="21"/>
          <w:highlight w:val="none"/>
          <w:lang w:val="en-US" w:eastAsia="zh-CN"/>
        </w:rPr>
        <w:t xml:space="preserve"> </w:t>
      </w:r>
      <w:r>
        <w:rPr>
          <w:rFonts w:hint="eastAsia" w:ascii="宋体" w:hAnsi="宋体" w:eastAsia="宋体" w:cs="宋体"/>
          <w:sz w:val="21"/>
          <w:szCs w:val="21"/>
          <w:highlight w:val="none"/>
        </w:rPr>
        <w:t>规范性引用文件</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_Toc11507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_Toc14115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highlight w:val="none"/>
        </w:rPr>
        <w:t xml:space="preserve">3 </w:t>
      </w:r>
      <w:r>
        <w:rPr>
          <w:rFonts w:hint="eastAsia" w:hAnsi="宋体" w:cs="宋体"/>
          <w:i w:val="0"/>
          <w:sz w:val="21"/>
          <w:szCs w:val="21"/>
          <w:highlight w:val="none"/>
          <w:lang w:val="en-US" w:eastAsia="zh-CN"/>
        </w:rPr>
        <w:t xml:space="preserve"> </w:t>
      </w:r>
      <w:r>
        <w:rPr>
          <w:rFonts w:hint="eastAsia" w:ascii="宋体" w:hAnsi="宋体" w:eastAsia="宋体" w:cs="宋体"/>
          <w:sz w:val="21"/>
          <w:szCs w:val="21"/>
          <w:highlight w:val="none"/>
        </w:rPr>
        <w:t>术语和定义</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_Toc14115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1</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_Toc20807 </w:instrText>
      </w:r>
      <w:r>
        <w:rPr>
          <w:rFonts w:hint="eastAsia" w:ascii="宋体" w:hAnsi="宋体" w:eastAsia="宋体" w:cs="宋体"/>
          <w:sz w:val="21"/>
          <w:szCs w:val="21"/>
          <w:highlight w:val="none"/>
        </w:rPr>
        <w:fldChar w:fldCharType="separate"/>
      </w:r>
      <w:r>
        <w:rPr>
          <w:rFonts w:hint="eastAsia" w:ascii="宋体" w:hAnsi="宋体" w:eastAsia="宋体" w:cs="宋体"/>
          <w:i w:val="0"/>
          <w:sz w:val="21"/>
          <w:szCs w:val="21"/>
          <w:highlight w:val="none"/>
        </w:rPr>
        <w:t>4</w:t>
      </w:r>
      <w:r>
        <w:rPr>
          <w:rFonts w:hint="eastAsia" w:hAnsi="宋体" w:cs="宋体"/>
          <w:i w:val="0"/>
          <w:sz w:val="21"/>
          <w:szCs w:val="21"/>
          <w:highlight w:val="none"/>
          <w:lang w:val="en-US" w:eastAsia="zh-CN"/>
        </w:rPr>
        <w:t xml:space="preserve"> </w:t>
      </w:r>
      <w:r>
        <w:rPr>
          <w:rFonts w:hint="eastAsia" w:ascii="宋体" w:hAnsi="宋体" w:eastAsia="宋体" w:cs="宋体"/>
          <w:i w:val="0"/>
          <w:sz w:val="21"/>
          <w:szCs w:val="21"/>
          <w:highlight w:val="none"/>
        </w:rPr>
        <w:t xml:space="preserve"> </w:t>
      </w:r>
      <w:r>
        <w:rPr>
          <w:rFonts w:hint="eastAsia" w:ascii="宋体" w:hAnsi="宋体" w:eastAsia="宋体" w:cs="宋体"/>
          <w:sz w:val="21"/>
          <w:szCs w:val="21"/>
          <w:highlight w:val="none"/>
        </w:rPr>
        <w:t>产品碳足迹评价</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_Toc20807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_Toc31852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hAnsi="宋体" w:cs="宋体"/>
          <w:bCs w:val="0"/>
          <w:i w:val="0"/>
          <w:iCs w:val="0"/>
          <w:caps w:val="0"/>
          <w:smallCaps w:val="0"/>
          <w:strike w:val="0"/>
          <w:dstrike w:val="0"/>
          <w:vanish w:val="0"/>
          <w:spacing w:val="0"/>
          <w:kern w:val="0"/>
          <w:position w:val="0"/>
          <w:sz w:val="21"/>
          <w:szCs w:val="21"/>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highlight w:val="none"/>
        </w:rPr>
        <w:t>产品描述</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_Toc31852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2</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_Toc25404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hAnsi="宋体" w:cs="宋体"/>
          <w:bCs w:val="0"/>
          <w:i w:val="0"/>
          <w:iCs w:val="0"/>
          <w:caps w:val="0"/>
          <w:smallCaps w:val="0"/>
          <w:strike w:val="0"/>
          <w:dstrike w:val="0"/>
          <w:vanish w:val="0"/>
          <w:spacing w:val="0"/>
          <w:kern w:val="0"/>
          <w:position w:val="0"/>
          <w:sz w:val="21"/>
          <w:szCs w:val="21"/>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highlight w:val="none"/>
        </w:rPr>
        <w:t>评价范围</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_Toc25404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_Toc14146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hAnsi="宋体" w:cs="宋体"/>
          <w:bCs w:val="0"/>
          <w:i w:val="0"/>
          <w:iCs w:val="0"/>
          <w:caps w:val="0"/>
          <w:smallCaps w:val="0"/>
          <w:strike w:val="0"/>
          <w:dstrike w:val="0"/>
          <w:vanish w:val="0"/>
          <w:spacing w:val="0"/>
          <w:kern w:val="0"/>
          <w:position w:val="0"/>
          <w:sz w:val="21"/>
          <w:szCs w:val="21"/>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highlight w:val="none"/>
        </w:rPr>
        <w:t>数据收集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_Toc14146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3</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_Toc7747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hAnsi="宋体" w:cs="宋体"/>
          <w:bCs w:val="0"/>
          <w:i w:val="0"/>
          <w:iCs w:val="0"/>
          <w:caps w:val="0"/>
          <w:smallCaps w:val="0"/>
          <w:strike w:val="0"/>
          <w:dstrike w:val="0"/>
          <w:vanish w:val="0"/>
          <w:spacing w:val="0"/>
          <w:kern w:val="0"/>
          <w:position w:val="0"/>
          <w:sz w:val="21"/>
          <w:szCs w:val="21"/>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highlight w:val="none"/>
        </w:rPr>
        <w:t>分配</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_Toc7747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4</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5"/>
        <w:keepNext w:val="0"/>
        <w:keepLines w:val="0"/>
        <w:pageBreakBefore w:val="0"/>
        <w:widowControl w:val="0"/>
        <w:tabs>
          <w:tab w:val="right" w:leader="dot" w:pos="9354"/>
          <w:tab w:val="clear" w:pos="9344"/>
        </w:tabs>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_Toc2743 </w:instrText>
      </w:r>
      <w:r>
        <w:rPr>
          <w:rFonts w:hint="eastAsia" w:ascii="宋体" w:hAnsi="宋体" w:eastAsia="宋体" w:cs="宋体"/>
          <w:sz w:val="21"/>
          <w:szCs w:val="21"/>
          <w:highlight w:val="none"/>
        </w:rPr>
        <w:fldChar w:fldCharType="separate"/>
      </w:r>
      <w:r>
        <w:rPr>
          <w:rFonts w:hint="eastAsia" w:ascii="宋体" w:hAnsi="宋体" w:eastAsia="宋体" w:cs="宋体"/>
          <w:bCs w:val="0"/>
          <w:i w:val="0"/>
          <w:iCs w:val="0"/>
          <w:caps w:val="0"/>
          <w:smallCaps w:val="0"/>
          <w:strike w:val="0"/>
          <w:dstrike w:val="0"/>
          <w:vanish w:val="0"/>
          <w:spacing w:val="0"/>
          <w:kern w:val="0"/>
          <w:position w:val="0"/>
          <w:sz w:val="21"/>
          <w:szCs w:val="21"/>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hAnsi="宋体" w:cs="宋体"/>
          <w:bCs w:val="0"/>
          <w:i w:val="0"/>
          <w:iCs w:val="0"/>
          <w:caps w:val="0"/>
          <w:smallCaps w:val="0"/>
          <w:strike w:val="0"/>
          <w:dstrike w:val="0"/>
          <w:vanish w:val="0"/>
          <w:spacing w:val="0"/>
          <w:kern w:val="0"/>
          <w:position w:val="0"/>
          <w:sz w:val="21"/>
          <w:szCs w:val="21"/>
          <w:highlight w:val="none"/>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sz w:val="21"/>
          <w:szCs w:val="21"/>
          <w:highlight w:val="none"/>
        </w:rPr>
        <w:t>数据计算</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_Toc2743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_Toc16613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5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产品碳足迹报告</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_Toc16613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5</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_Toc19435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附录A（资料性）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现场数据收集表</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_Toc19435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6</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20"/>
        <w:keepNext w:val="0"/>
        <w:keepLines w:val="0"/>
        <w:pageBreakBefore w:val="0"/>
        <w:widowControl w:val="0"/>
        <w:tabs>
          <w:tab w:val="right" w:leader="dot" w:pos="9354"/>
        </w:tabs>
        <w:kinsoku/>
        <w:wordWrap/>
        <w:overflowPunct/>
        <w:topLinePunct w:val="0"/>
        <w:autoSpaceDE/>
        <w:autoSpaceDN/>
        <w:bidi w:val="0"/>
        <w:adjustRightInd w:val="0"/>
        <w:snapToGrid/>
        <w:spacing w:before="79" w:beforeLines="25" w:after="79" w:afterLines="25"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HYPERLINK \l _Toc407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 xml:space="preserve">附录B（资料性） </w:t>
      </w:r>
      <w:r>
        <w:rPr>
          <w:rFonts w:hint="eastAsia" w:hAnsi="宋体" w:cs="宋体"/>
          <w:sz w:val="21"/>
          <w:szCs w:val="21"/>
          <w:highlight w:val="none"/>
          <w:lang w:val="en-US" w:eastAsia="zh-CN"/>
        </w:rPr>
        <w:t xml:space="preserve"> </w:t>
      </w:r>
      <w:r>
        <w:rPr>
          <w:rFonts w:hint="eastAsia" w:ascii="宋体" w:hAnsi="宋体" w:eastAsia="宋体" w:cs="宋体"/>
          <w:sz w:val="21"/>
          <w:szCs w:val="21"/>
          <w:highlight w:val="none"/>
        </w:rPr>
        <w:t>背景数据收集</w:t>
      </w:r>
      <w:r>
        <w:rPr>
          <w:rFonts w:hint="eastAsia" w:ascii="宋体" w:hAnsi="宋体" w:eastAsia="宋体" w:cs="宋体"/>
          <w:sz w:val="21"/>
          <w:szCs w:val="21"/>
          <w:highlight w:val="none"/>
        </w:rPr>
        <w:tab/>
      </w:r>
      <w:r>
        <w:rPr>
          <w:rFonts w:hint="eastAsia" w:ascii="宋体" w:hAnsi="宋体" w:eastAsia="宋体" w:cs="宋体"/>
          <w:sz w:val="21"/>
          <w:szCs w:val="21"/>
          <w:highlight w:val="none"/>
        </w:rPr>
        <w:fldChar w:fldCharType="begin"/>
      </w:r>
      <w:r>
        <w:rPr>
          <w:rFonts w:hint="eastAsia" w:ascii="宋体" w:hAnsi="宋体" w:eastAsia="宋体" w:cs="宋体"/>
          <w:sz w:val="21"/>
          <w:szCs w:val="21"/>
          <w:highlight w:val="none"/>
        </w:rPr>
        <w:instrText xml:space="preserve"> PAGEREF _Toc407 \h </w:instrText>
      </w:r>
      <w:r>
        <w:rPr>
          <w:rFonts w:hint="eastAsia" w:ascii="宋体" w:hAnsi="宋体" w:eastAsia="宋体" w:cs="宋体"/>
          <w:sz w:val="21"/>
          <w:szCs w:val="21"/>
          <w:highlight w:val="none"/>
        </w:rPr>
        <w:fldChar w:fldCharType="separate"/>
      </w:r>
      <w:r>
        <w:rPr>
          <w:rFonts w:hint="eastAsia" w:ascii="宋体" w:hAnsi="宋体" w:eastAsia="宋体" w:cs="宋体"/>
          <w:sz w:val="21"/>
          <w:szCs w:val="21"/>
          <w:highlight w:val="none"/>
        </w:rPr>
        <w:t>8</w:t>
      </w:r>
      <w:r>
        <w:rPr>
          <w:rFonts w:hint="eastAsia" w:ascii="宋体" w:hAnsi="宋体" w:eastAsia="宋体" w:cs="宋体"/>
          <w:sz w:val="21"/>
          <w:szCs w:val="21"/>
          <w:highlight w:val="none"/>
        </w:rPr>
        <w:fldChar w:fldCharType="end"/>
      </w:r>
      <w:r>
        <w:rPr>
          <w:rFonts w:hint="eastAsia" w:ascii="宋体" w:hAnsi="宋体" w:eastAsia="宋体" w:cs="宋体"/>
          <w:sz w:val="21"/>
          <w:szCs w:val="21"/>
          <w:highlight w:val="none"/>
        </w:rPr>
        <w:fldChar w:fldCharType="end"/>
      </w:r>
    </w:p>
    <w:p>
      <w:pPr>
        <w:pStyle w:val="94"/>
        <w:keepNext w:val="0"/>
        <w:keepLines w:val="0"/>
        <w:pageBreakBefore w:val="0"/>
        <w:widowControl w:val="0"/>
        <w:kinsoku/>
        <w:wordWrap/>
        <w:overflowPunct/>
        <w:topLinePunct w:val="0"/>
        <w:autoSpaceDE/>
        <w:autoSpaceDN/>
        <w:bidi w:val="0"/>
        <w:adjustRightInd w:val="0"/>
        <w:snapToGrid/>
        <w:spacing w:after="0" w:afterLines="0" w:line="240" w:lineRule="auto"/>
        <w:textAlignment w:val="auto"/>
        <w:rPr>
          <w:highlight w:val="none"/>
        </w:rPr>
        <w:sectPr>
          <w:headerReference r:id="rId7" w:type="default"/>
          <w:footerReference r:id="rId9" w:type="default"/>
          <w:headerReference r:id="rId8" w:type="even"/>
          <w:footerReference r:id="rId10" w:type="even"/>
          <w:pgSz w:w="11906" w:h="16838"/>
          <w:pgMar w:top="567" w:right="1134" w:bottom="1134" w:left="1134" w:header="1418" w:footer="1134" w:gutter="284"/>
          <w:pgNumType w:fmt="upperRoman" w:start="1"/>
          <w:cols w:space="425" w:num="1"/>
          <w:formProt w:val="0"/>
          <w:docGrid w:linePitch="312" w:charSpace="0"/>
        </w:sectPr>
      </w:pPr>
      <w:r>
        <w:rPr>
          <w:rFonts w:hint="eastAsia" w:ascii="宋体" w:hAnsi="宋体" w:eastAsia="宋体" w:cs="宋体"/>
          <w:sz w:val="21"/>
          <w:szCs w:val="21"/>
          <w:highlight w:val="none"/>
        </w:rPr>
        <w:fldChar w:fldCharType="end"/>
      </w:r>
      <w:bookmarkEnd w:id="18"/>
      <w:bookmarkStart w:id="22" w:name="BookMark2"/>
    </w:p>
    <w:p>
      <w:pPr>
        <w:pStyle w:val="94"/>
        <w:spacing w:before="567" w:after="680" w:afterLines="0"/>
        <w:rPr>
          <w:highlight w:val="none"/>
        </w:rPr>
      </w:pPr>
      <w:r>
        <w:rPr>
          <w:spacing w:val="320"/>
          <w:highlight w:val="none"/>
        </w:rPr>
        <w:t>前</w:t>
      </w:r>
      <w:r>
        <w:rPr>
          <w:highlight w:val="none"/>
        </w:rPr>
        <w:t>言</w:t>
      </w:r>
      <w:bookmarkEnd w:id="19"/>
      <w:bookmarkEnd w:id="20"/>
      <w:bookmarkEnd w:id="21"/>
    </w:p>
    <w:p>
      <w:pPr>
        <w:pStyle w:val="59"/>
        <w:ind w:firstLine="420"/>
        <w:rPr>
          <w:rFonts w:hint="eastAsia"/>
          <w:highlight w:val="none"/>
        </w:rPr>
      </w:pPr>
      <w:r>
        <w:rPr>
          <w:rFonts w:hint="eastAsia"/>
          <w:highlight w:val="none"/>
        </w:rPr>
        <w:t>本文件按照GB/T 1.1—2020《标准化工作导则  第1部分：标准化文件的结构和起草规则》的规定起草。</w:t>
      </w:r>
    </w:p>
    <w:p>
      <w:pPr>
        <w:pStyle w:val="59"/>
        <w:ind w:firstLine="420"/>
        <w:rPr>
          <w:rFonts w:hint="eastAsia"/>
          <w:highlight w:val="none"/>
          <w:lang w:val="en-US" w:eastAsia="zh-CN"/>
        </w:rPr>
      </w:pPr>
      <w:r>
        <w:rPr>
          <w:rFonts w:hint="eastAsia"/>
          <w:highlight w:val="none"/>
          <w:lang w:val="en-US" w:eastAsia="zh-CN"/>
        </w:rPr>
        <w:t>请注意本文件的某些内容可能涉及专利。本文件的发布机构不承担识别专利的责任。</w:t>
      </w:r>
    </w:p>
    <w:p>
      <w:pPr>
        <w:pStyle w:val="59"/>
        <w:ind w:firstLine="420"/>
        <w:rPr>
          <w:rFonts w:hint="eastAsia"/>
          <w:highlight w:val="none"/>
          <w:lang w:val="en-US" w:eastAsia="zh-CN"/>
        </w:rPr>
      </w:pPr>
    </w:p>
    <w:p>
      <w:pPr>
        <w:pStyle w:val="59"/>
        <w:ind w:firstLine="420"/>
        <w:rPr>
          <w:highlight w:val="none"/>
        </w:rPr>
      </w:pPr>
      <w:r>
        <w:rPr>
          <w:rFonts w:hint="eastAsia"/>
          <w:highlight w:val="none"/>
        </w:rPr>
        <w:t>本文件由××××提出。</w:t>
      </w:r>
    </w:p>
    <w:p>
      <w:pPr>
        <w:pStyle w:val="59"/>
        <w:ind w:firstLine="420"/>
        <w:rPr>
          <w:highlight w:val="none"/>
        </w:rPr>
      </w:pPr>
      <w:r>
        <w:rPr>
          <w:rFonts w:hint="eastAsia"/>
          <w:highlight w:val="none"/>
        </w:rPr>
        <w:t>本文件由</w:t>
      </w:r>
      <w:r>
        <w:rPr>
          <w:rFonts w:hint="eastAsia"/>
          <w:highlight w:val="none"/>
          <w:lang w:eastAsia="zh-CN"/>
        </w:rPr>
        <w:t>中国电子技术标准化研究院</w:t>
      </w:r>
      <w:r>
        <w:rPr>
          <w:rFonts w:hint="eastAsia"/>
          <w:highlight w:val="none"/>
        </w:rPr>
        <w:t>归口。</w:t>
      </w:r>
    </w:p>
    <w:p>
      <w:pPr>
        <w:pStyle w:val="59"/>
        <w:ind w:firstLine="420"/>
        <w:rPr>
          <w:highlight w:val="none"/>
        </w:rPr>
      </w:pPr>
      <w:r>
        <w:rPr>
          <w:rFonts w:hint="eastAsia"/>
          <w:highlight w:val="none"/>
        </w:rPr>
        <w:t>本文件起草单位：</w:t>
      </w:r>
      <w:r>
        <w:rPr>
          <w:rFonts w:hint="eastAsia"/>
          <w:highlight w:val="none"/>
          <w:lang w:eastAsia="zh-CN"/>
        </w:rPr>
        <w:t>中国电子技术标准化研究院</w:t>
      </w:r>
    </w:p>
    <w:p>
      <w:pPr>
        <w:pStyle w:val="59"/>
        <w:ind w:firstLine="420"/>
        <w:rPr>
          <w:highlight w:val="none"/>
        </w:rPr>
      </w:pPr>
      <w:r>
        <w:rPr>
          <w:rFonts w:hint="eastAsia"/>
          <w:highlight w:val="none"/>
        </w:rPr>
        <w:t>本文件主要起草人：</w:t>
      </w:r>
    </w:p>
    <w:p>
      <w:pPr>
        <w:pStyle w:val="59"/>
        <w:ind w:firstLine="420"/>
        <w:rPr>
          <w:highlight w:val="none"/>
        </w:rPr>
      </w:pPr>
    </w:p>
    <w:p>
      <w:pPr>
        <w:pStyle w:val="59"/>
        <w:ind w:firstLine="420"/>
        <w:rPr>
          <w:highlight w:val="none"/>
        </w:rPr>
        <w:sectPr>
          <w:type w:val="oddPage"/>
          <w:pgSz w:w="11906" w:h="16838"/>
          <w:pgMar w:top="567" w:right="1134" w:bottom="1134" w:left="1134" w:header="1418" w:footer="1134" w:gutter="284"/>
          <w:pgNumType w:fmt="upperRoman"/>
          <w:cols w:space="425" w:num="1"/>
          <w:formProt w:val="0"/>
          <w:docGrid w:linePitch="312" w:charSpace="0"/>
        </w:sectPr>
      </w:pPr>
    </w:p>
    <w:bookmarkEnd w:id="22"/>
    <w:sdt>
      <w:sdtPr>
        <w:rPr>
          <w:highlight w:val="none"/>
        </w:rPr>
        <w:tag w:val="NEW_STAND_NAME"/>
        <w:id w:val="595910757"/>
        <w:lock w:val="sdtLocked"/>
        <w:placeholder>
          <w:docPart w:val="37BCCEF4DA094EE1A3EA89D73B495B65"/>
        </w:placeholder>
      </w:sdtPr>
      <w:sdtEndPr>
        <w:rPr>
          <w:rFonts w:hint="eastAsia"/>
          <w:highlight w:val="none"/>
        </w:rPr>
      </w:sdtEndPr>
      <w:sdtContent>
        <w:p>
          <w:pPr>
            <w:pStyle w:val="181"/>
            <w:keepNext w:val="0"/>
            <w:keepLines w:val="0"/>
            <w:pageBreakBefore w:val="0"/>
            <w:widowControl/>
            <w:kinsoku/>
            <w:wordWrap/>
            <w:overflowPunct/>
            <w:topLinePunct w:val="0"/>
            <w:autoSpaceDE/>
            <w:autoSpaceDN/>
            <w:bidi w:val="0"/>
            <w:adjustRightInd/>
            <w:snapToGrid/>
            <w:spacing w:before="567" w:after="680" w:line="240" w:lineRule="auto"/>
            <w:textAlignment w:val="auto"/>
            <w:rPr>
              <w:highlight w:val="none"/>
            </w:rPr>
          </w:pPr>
          <w:bookmarkStart w:id="23" w:name="NEW_STAND_NAME"/>
          <w:bookmarkStart w:id="24" w:name="BookMark4"/>
          <w:r>
            <w:rPr>
              <w:rFonts w:hint="eastAsia"/>
              <w:highlight w:val="none"/>
            </w:rPr>
            <w:t>产品碳足迹  产品种类规则  光伏组件</w:t>
          </w:r>
        </w:p>
      </w:sdtContent>
    </w:sdt>
    <w:bookmarkEnd w:id="23"/>
    <w:p>
      <w:pPr>
        <w:pStyle w:val="107"/>
        <w:spacing w:before="240" w:after="240"/>
        <w:rPr>
          <w:highlight w:val="none"/>
        </w:rPr>
      </w:pPr>
      <w:bookmarkStart w:id="25" w:name="_Toc24884218"/>
      <w:bookmarkStart w:id="26" w:name="_Toc79045635"/>
      <w:bookmarkStart w:id="27" w:name="_Toc10800"/>
      <w:bookmarkStart w:id="28" w:name="_Toc26986530"/>
      <w:bookmarkStart w:id="29" w:name="_Toc26648465"/>
      <w:bookmarkStart w:id="30" w:name="_Toc26718930"/>
      <w:bookmarkStart w:id="31" w:name="_Toc6439"/>
      <w:bookmarkStart w:id="32" w:name="_Toc17233325"/>
      <w:bookmarkStart w:id="33" w:name="_Toc24884211"/>
      <w:bookmarkStart w:id="34" w:name="_Toc17233333"/>
      <w:bookmarkStart w:id="35" w:name="_Toc79504498"/>
      <w:bookmarkStart w:id="36" w:name="_Toc26986771"/>
      <w:r>
        <w:rPr>
          <w:rFonts w:hint="eastAsia"/>
          <w:highlight w:val="none"/>
        </w:rPr>
        <w:t>范围</w:t>
      </w:r>
      <w:bookmarkEnd w:id="25"/>
      <w:bookmarkEnd w:id="26"/>
      <w:bookmarkEnd w:id="27"/>
      <w:bookmarkEnd w:id="28"/>
      <w:bookmarkEnd w:id="29"/>
      <w:bookmarkEnd w:id="30"/>
      <w:bookmarkEnd w:id="31"/>
      <w:bookmarkEnd w:id="32"/>
      <w:bookmarkEnd w:id="33"/>
      <w:bookmarkEnd w:id="34"/>
      <w:bookmarkEnd w:id="35"/>
      <w:bookmarkEnd w:id="36"/>
    </w:p>
    <w:p>
      <w:pPr>
        <w:pStyle w:val="59"/>
        <w:ind w:firstLine="420"/>
        <w:rPr>
          <w:highlight w:val="none"/>
        </w:rPr>
      </w:pPr>
      <w:bookmarkStart w:id="37" w:name="_Toc24884219"/>
      <w:bookmarkStart w:id="38" w:name="_Toc26648466"/>
      <w:bookmarkStart w:id="39" w:name="_Toc17233326"/>
      <w:bookmarkStart w:id="40" w:name="_Toc24884212"/>
      <w:bookmarkStart w:id="41" w:name="_Toc17233334"/>
      <w:r>
        <w:rPr>
          <w:rFonts w:hint="eastAsia"/>
          <w:highlight w:val="none"/>
        </w:rPr>
        <w:t>本文件规定光伏组件产品碳足迹评价与计算的基本规则和要求。</w:t>
      </w:r>
    </w:p>
    <w:p>
      <w:pPr>
        <w:pStyle w:val="59"/>
        <w:ind w:firstLine="420"/>
        <w:rPr>
          <w:highlight w:val="none"/>
        </w:rPr>
      </w:pPr>
      <w:bookmarkStart w:id="42" w:name="_Toc79045636"/>
      <w:bookmarkStart w:id="43" w:name="_Toc25811"/>
      <w:bookmarkStart w:id="44" w:name="_Toc26718931"/>
      <w:bookmarkStart w:id="45" w:name="_Toc26986531"/>
      <w:bookmarkStart w:id="46" w:name="_Toc79504499"/>
      <w:bookmarkStart w:id="47" w:name="_Toc26986772"/>
      <w:r>
        <w:rPr>
          <w:rFonts w:hint="eastAsia"/>
          <w:highlight w:val="none"/>
        </w:rPr>
        <w:t>本文件适用于晶体硅光伏组件</w:t>
      </w:r>
      <w:r>
        <w:rPr>
          <w:rFonts w:hint="eastAsia"/>
          <w:highlight w:val="none"/>
          <w:lang w:eastAsia="zh-CN"/>
        </w:rPr>
        <w:t>产品</w:t>
      </w:r>
      <w:r>
        <w:rPr>
          <w:rFonts w:hint="eastAsia"/>
          <w:highlight w:val="none"/>
          <w:lang w:val="en-US" w:eastAsia="zh-CN"/>
        </w:rPr>
        <w:t>，</w:t>
      </w:r>
      <w:r>
        <w:rPr>
          <w:rFonts w:hint="eastAsia"/>
          <w:highlight w:val="none"/>
          <w:lang w:eastAsia="zh-CN"/>
        </w:rPr>
        <w:t>其他光伏组件产品可参照本文件计算</w:t>
      </w:r>
      <w:r>
        <w:rPr>
          <w:rFonts w:hint="eastAsia"/>
          <w:highlight w:val="none"/>
        </w:rPr>
        <w:t>。</w:t>
      </w:r>
    </w:p>
    <w:p>
      <w:pPr>
        <w:pStyle w:val="107"/>
        <w:spacing w:before="240" w:after="240"/>
        <w:rPr>
          <w:highlight w:val="none"/>
        </w:rPr>
      </w:pPr>
      <w:bookmarkStart w:id="48" w:name="_Toc11507"/>
      <w:r>
        <w:rPr>
          <w:rFonts w:hint="eastAsia"/>
          <w:highlight w:val="none"/>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highlight w:val="none"/>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pPr>
            <w:pStyle w:val="59"/>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Style w:val="195"/>
          <w:highlight w:val="none"/>
        </w:rPr>
      </w:pPr>
      <w:r>
        <w:rPr>
          <w:rFonts w:hint="eastAsia"/>
          <w:highlight w:val="none"/>
        </w:rPr>
        <w:t xml:space="preserve">GB/T </w:t>
      </w:r>
      <w:r>
        <w:rPr>
          <w:rStyle w:val="195"/>
          <w:rFonts w:hint="eastAsia"/>
          <w:highlight w:val="none"/>
        </w:rPr>
        <w:t xml:space="preserve">2297—1989  </w:t>
      </w:r>
      <w:r>
        <w:rPr>
          <w:highlight w:val="none"/>
        </w:rPr>
        <w:fldChar w:fldCharType="begin"/>
      </w:r>
      <w:r>
        <w:rPr>
          <w:highlight w:val="none"/>
        </w:rPr>
        <w:instrText xml:space="preserve"> HYPERLINK "http://www.baidu.com/link?url=6Lzeg41RaTlsYkCejIttELcqS9iRhoyFi6GKAFZ5Ht8Z0jts1VGSmKmPXUrYlluFWm_nR3lGsrHm6VvkBbPjdYrust2kXaHOE-J_LIZmaCy" \t "https://www.baidu.com/_blank" </w:instrText>
      </w:r>
      <w:r>
        <w:rPr>
          <w:highlight w:val="none"/>
        </w:rPr>
        <w:fldChar w:fldCharType="separate"/>
      </w:r>
      <w:r>
        <w:rPr>
          <w:rStyle w:val="195"/>
          <w:rFonts w:hint="eastAsia"/>
          <w:highlight w:val="none"/>
        </w:rPr>
        <w:t>太阳光伏能源系统术语</w:t>
      </w:r>
      <w:r>
        <w:rPr>
          <w:rStyle w:val="195"/>
          <w:rFonts w:hint="eastAsia"/>
          <w:highlight w:val="none"/>
        </w:rPr>
        <w:fldChar w:fldCharType="end"/>
      </w:r>
    </w:p>
    <w:p>
      <w:pPr>
        <w:pStyle w:val="59"/>
        <w:ind w:firstLine="420"/>
        <w:rPr>
          <w:highlight w:val="none"/>
        </w:rPr>
      </w:pPr>
      <w:r>
        <w:rPr>
          <w:rFonts w:hint="eastAsia"/>
          <w:highlight w:val="none"/>
        </w:rPr>
        <w:t>GB/T 24024</w:t>
      </w:r>
      <w:r>
        <w:rPr>
          <w:rStyle w:val="195"/>
          <w:rFonts w:hint="eastAsia"/>
          <w:highlight w:val="none"/>
          <w:lang w:eastAsia="zh-CN"/>
        </w:rPr>
        <w:t>—</w:t>
      </w:r>
      <w:r>
        <w:rPr>
          <w:rStyle w:val="195"/>
          <w:rFonts w:hint="eastAsia"/>
          <w:highlight w:val="none"/>
        </w:rPr>
        <w:t>2001</w:t>
      </w:r>
      <w:r>
        <w:rPr>
          <w:rFonts w:hint="eastAsia"/>
          <w:highlight w:val="none"/>
        </w:rPr>
        <w:t xml:space="preserve">  环境管理  环境标志和生命  </w:t>
      </w:r>
      <w:r>
        <w:rPr>
          <w:rFonts w:hint="eastAsia" w:hAnsi="宋体" w:cs="宋体"/>
          <w:highlight w:val="none"/>
        </w:rPr>
        <w:t>Ⅰ</w:t>
      </w:r>
      <w:r>
        <w:rPr>
          <w:rFonts w:hint="eastAsia"/>
          <w:highlight w:val="none"/>
        </w:rPr>
        <w:t>型环境标志  原则和程序</w:t>
      </w:r>
    </w:p>
    <w:p>
      <w:pPr>
        <w:pStyle w:val="59"/>
        <w:ind w:firstLine="420"/>
        <w:rPr>
          <w:highlight w:val="none"/>
        </w:rPr>
      </w:pPr>
      <w:r>
        <w:rPr>
          <w:rFonts w:hint="eastAsia"/>
          <w:highlight w:val="none"/>
        </w:rPr>
        <w:t xml:space="preserve">GB/T </w:t>
      </w:r>
      <w:r>
        <w:rPr>
          <w:rStyle w:val="195"/>
          <w:rFonts w:hint="eastAsia"/>
          <w:highlight w:val="none"/>
        </w:rPr>
        <w:t>24040</w:t>
      </w:r>
      <w:r>
        <w:rPr>
          <w:rStyle w:val="195"/>
          <w:rFonts w:hint="eastAsia"/>
          <w:highlight w:val="none"/>
          <w:lang w:eastAsia="zh-CN"/>
        </w:rPr>
        <w:t>—</w:t>
      </w:r>
      <w:r>
        <w:rPr>
          <w:rStyle w:val="195"/>
          <w:rFonts w:hint="eastAsia"/>
          <w:highlight w:val="none"/>
        </w:rPr>
        <w:t>2008</w:t>
      </w:r>
      <w:r>
        <w:rPr>
          <w:rFonts w:hint="eastAsia"/>
          <w:highlight w:val="none"/>
        </w:rPr>
        <w:t xml:space="preserve">  环境管理生命周期评价原则与框架</w:t>
      </w:r>
    </w:p>
    <w:p>
      <w:pPr>
        <w:pStyle w:val="59"/>
        <w:ind w:firstLine="420"/>
        <w:rPr>
          <w:highlight w:val="none"/>
        </w:rPr>
      </w:pPr>
      <w:r>
        <w:rPr>
          <w:rStyle w:val="195"/>
          <w:rFonts w:hint="eastAsia"/>
          <w:highlight w:val="none"/>
        </w:rPr>
        <w:t>GB/T 32150</w:t>
      </w:r>
      <w:r>
        <w:rPr>
          <w:rStyle w:val="195"/>
          <w:rFonts w:hint="eastAsia"/>
          <w:highlight w:val="none"/>
          <w:lang w:eastAsia="zh-CN"/>
        </w:rPr>
        <w:t>—</w:t>
      </w:r>
      <w:r>
        <w:rPr>
          <w:rStyle w:val="195"/>
          <w:rFonts w:hint="eastAsia"/>
          <w:highlight w:val="none"/>
        </w:rPr>
        <w:t>2015  工业企业温室气体排放核算和报告通则</w:t>
      </w:r>
    </w:p>
    <w:p>
      <w:pPr>
        <w:pStyle w:val="59"/>
        <w:ind w:firstLine="420"/>
        <w:rPr>
          <w:rStyle w:val="195"/>
          <w:highlight w:val="none"/>
        </w:rPr>
      </w:pPr>
      <w:r>
        <w:rPr>
          <w:rStyle w:val="195"/>
          <w:rFonts w:hint="eastAsia"/>
          <w:highlight w:val="none"/>
        </w:rPr>
        <w:t>IEC/TS 61836：2016  太阳光伏能源系统术语（Solar photovoltaic energy systems</w:t>
      </w:r>
      <w:r>
        <w:rPr>
          <w:rStyle w:val="195"/>
          <w:rFonts w:hint="default" w:ascii="Times New Roman" w:hAnsi="Times New Roman" w:cs="Times New Roman"/>
          <w:highlight w:val="none"/>
          <w:lang w:eastAsia="zh-CN"/>
        </w:rPr>
        <w:t>—</w:t>
      </w:r>
      <w:r>
        <w:rPr>
          <w:rStyle w:val="195"/>
          <w:rFonts w:hint="eastAsia"/>
          <w:highlight w:val="none"/>
        </w:rPr>
        <w:t>Terms, definitions and symbols）</w:t>
      </w:r>
    </w:p>
    <w:p>
      <w:pPr>
        <w:pStyle w:val="59"/>
        <w:ind w:firstLine="420"/>
        <w:rPr>
          <w:rStyle w:val="195"/>
          <w:highlight w:val="none"/>
        </w:rPr>
      </w:pPr>
      <w:r>
        <w:rPr>
          <w:rStyle w:val="195"/>
          <w:rFonts w:hint="eastAsia"/>
          <w:highlight w:val="none"/>
        </w:rPr>
        <w:t>ISO 14064-1:2018  温室气体  第一部分  组织层面上对温室气体排放和清除的量化和报告的规范及指南（Greenhouse gases</w:t>
      </w:r>
      <w:r>
        <w:rPr>
          <w:rStyle w:val="195"/>
          <w:rFonts w:hint="default" w:ascii="Times New Roman" w:hAnsi="Times New Roman" w:cs="Times New Roman"/>
          <w:highlight w:val="none"/>
        </w:rPr>
        <w:t>—</w:t>
      </w:r>
      <w:r>
        <w:rPr>
          <w:rStyle w:val="195"/>
          <w:rFonts w:hint="eastAsia"/>
          <w:highlight w:val="none"/>
        </w:rPr>
        <w:t>Part 1: Specification with guidance at the organization level for quantification and reporting of greenhouse gas emissions and removals）</w:t>
      </w:r>
    </w:p>
    <w:p>
      <w:pPr>
        <w:pStyle w:val="59"/>
        <w:ind w:firstLine="420"/>
        <w:rPr>
          <w:rStyle w:val="195"/>
          <w:highlight w:val="none"/>
        </w:rPr>
      </w:pPr>
      <w:r>
        <w:rPr>
          <w:rStyle w:val="195"/>
          <w:rFonts w:hint="eastAsia"/>
          <w:highlight w:val="none"/>
        </w:rPr>
        <w:t>ISO 14067:2018  温室气体  产品碳足迹  量化要求和指南（Greenhouse gases</w:t>
      </w:r>
      <w:r>
        <w:rPr>
          <w:rStyle w:val="195"/>
          <w:rFonts w:hint="default" w:ascii="Times New Roman" w:hAnsi="Times New Roman" w:cs="Times New Roman"/>
          <w:highlight w:val="none"/>
          <w:lang w:eastAsia="zh-CN"/>
        </w:rPr>
        <w:t>—</w:t>
      </w:r>
      <w:r>
        <w:rPr>
          <w:rStyle w:val="195"/>
          <w:rFonts w:hint="eastAsia"/>
          <w:highlight w:val="none"/>
        </w:rPr>
        <w:t>Carbon footprint of products</w:t>
      </w:r>
      <w:r>
        <w:rPr>
          <w:rStyle w:val="195"/>
          <w:rFonts w:hint="default" w:ascii="Times New Roman" w:hAnsi="Times New Roman" w:cs="Times New Roman"/>
          <w:highlight w:val="none"/>
        </w:rPr>
        <w:t>—</w:t>
      </w:r>
      <w:r>
        <w:rPr>
          <w:rStyle w:val="195"/>
          <w:rFonts w:hint="eastAsia"/>
          <w:highlight w:val="none"/>
        </w:rPr>
        <w:t>Requirements and guidelines for quantification）</w:t>
      </w:r>
    </w:p>
    <w:p>
      <w:pPr>
        <w:pStyle w:val="107"/>
        <w:spacing w:before="240" w:after="240"/>
        <w:rPr>
          <w:highlight w:val="none"/>
        </w:rPr>
      </w:pPr>
      <w:bookmarkStart w:id="49" w:name="_Toc14115"/>
      <w:bookmarkStart w:id="50" w:name="_Toc79504500"/>
      <w:bookmarkStart w:id="51" w:name="_Toc3929"/>
      <w:bookmarkStart w:id="52" w:name="_Toc79045637"/>
      <w:r>
        <w:rPr>
          <w:rFonts w:hint="eastAsia"/>
          <w:szCs w:val="21"/>
          <w:highlight w:val="none"/>
        </w:rPr>
        <w:t>术语和定义</w:t>
      </w:r>
      <w:bookmarkEnd w:id="49"/>
      <w:bookmarkEnd w:id="50"/>
      <w:bookmarkEnd w:id="51"/>
      <w:bookmarkEnd w:id="52"/>
    </w:p>
    <w:sdt>
      <w:sdtPr>
        <w:rPr>
          <w:highlight w:val="none"/>
        </w:r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pPr>
            <w:pStyle w:val="59"/>
            <w:ind w:firstLine="420"/>
            <w:rPr>
              <w:highlight w:val="none"/>
            </w:rPr>
          </w:pPr>
          <w:bookmarkStart w:id="53" w:name="_Toc26986532"/>
          <w:bookmarkEnd w:id="53"/>
          <w:r>
            <w:rPr>
              <w:highlight w:val="none"/>
            </w:rPr>
            <w:t>下列术语和定义适用于本文件。</w:t>
          </w:r>
        </w:p>
      </w:sdtContent>
    </w:sdt>
    <w:p>
      <w:pPr>
        <w:pStyle w:val="227"/>
        <w:ind w:left="420" w:hanging="420" w:hangingChars="200"/>
        <w:rPr>
          <w:rFonts w:ascii="黑体" w:hAnsi="黑体" w:eastAsia="黑体" w:cs="黑体"/>
          <w:highlight w:val="none"/>
        </w:rPr>
      </w:pPr>
    </w:p>
    <w:p>
      <w:pPr>
        <w:pStyle w:val="59"/>
        <w:ind w:firstLine="420"/>
        <w:rPr>
          <w:rFonts w:hint="eastAsia" w:ascii="黑体" w:hAnsi="黑体" w:eastAsia="黑体" w:cs="黑体"/>
          <w:highlight w:val="none"/>
          <w:lang w:val="en-US" w:eastAsia="zh-CN"/>
        </w:rPr>
      </w:pPr>
      <w:r>
        <w:rPr>
          <w:rFonts w:hint="eastAsia" w:ascii="黑体" w:hAnsi="黑体" w:eastAsia="黑体" w:cs="黑体"/>
          <w:highlight w:val="none"/>
        </w:rPr>
        <w:t>光伏组件</w:t>
      </w:r>
      <w:r>
        <w:rPr>
          <w:rFonts w:hint="eastAsia" w:ascii="黑体" w:hAnsi="黑体" w:eastAsia="黑体" w:cs="黑体"/>
          <w:highlight w:val="none"/>
          <w:lang w:val="en-US" w:eastAsia="zh-CN"/>
        </w:rPr>
        <w:t xml:space="preserve">  </w:t>
      </w:r>
      <w:r>
        <w:rPr>
          <w:rFonts w:hint="eastAsia" w:ascii="黑体" w:hAnsi="黑体" w:eastAsia="黑体" w:cs="黑体"/>
          <w:highlight w:val="none"/>
        </w:rPr>
        <w:t>photovoltaic module</w:t>
      </w:r>
    </w:p>
    <w:p>
      <w:pPr>
        <w:pStyle w:val="59"/>
        <w:ind w:firstLine="420"/>
        <w:rPr>
          <w:highlight w:val="none"/>
        </w:rPr>
      </w:pPr>
      <w:r>
        <w:rPr>
          <w:rFonts w:hint="eastAsia"/>
          <w:highlight w:val="none"/>
        </w:rPr>
        <w:t>具有封装及内部联结的、能单独提供直流电输出的，最小不可分割的光伏电池组合装置。</w:t>
      </w:r>
    </w:p>
    <w:p>
      <w:pPr>
        <w:pStyle w:val="59"/>
        <w:ind w:firstLine="420"/>
        <w:rPr>
          <w:rFonts w:ascii="黑体" w:hAnsi="黑体" w:eastAsia="黑体" w:cs="黑体"/>
          <w:highlight w:val="none"/>
        </w:rPr>
      </w:pPr>
      <w:r>
        <w:rPr>
          <w:rStyle w:val="195"/>
          <w:rFonts w:hint="eastAsia"/>
          <w:highlight w:val="none"/>
        </w:rPr>
        <w:t>[来源：GB/T 2297</w:t>
      </w:r>
      <w:r>
        <w:rPr>
          <w:rStyle w:val="195"/>
          <w:rFonts w:hint="eastAsia"/>
          <w:highlight w:val="none"/>
          <w:lang w:eastAsia="zh-CN"/>
        </w:rPr>
        <w:t>—</w:t>
      </w:r>
      <w:r>
        <w:rPr>
          <w:rStyle w:val="195"/>
          <w:rFonts w:hint="eastAsia"/>
          <w:highlight w:val="none"/>
        </w:rPr>
        <w:t>1989</w:t>
      </w:r>
      <w:r>
        <w:rPr>
          <w:rStyle w:val="195"/>
          <w:rFonts w:hint="eastAsia"/>
          <w:highlight w:val="none"/>
          <w:lang w:eastAsia="zh-CN"/>
        </w:rPr>
        <w:t>，</w:t>
      </w:r>
      <w:r>
        <w:rPr>
          <w:rStyle w:val="195"/>
          <w:rFonts w:hint="eastAsia"/>
          <w:highlight w:val="none"/>
        </w:rPr>
        <w:t>4.1</w:t>
      </w:r>
      <w:r>
        <w:rPr>
          <w:rStyle w:val="195"/>
          <w:rFonts w:hint="eastAsia"/>
          <w:highlight w:val="none"/>
          <w:lang w:eastAsia="zh-CN"/>
        </w:rPr>
        <w:t>，</w:t>
      </w:r>
      <w:r>
        <w:rPr>
          <w:rStyle w:val="195"/>
          <w:rFonts w:hint="eastAsia"/>
          <w:highlight w:val="none"/>
        </w:rPr>
        <w:t>有修改]</w:t>
      </w:r>
    </w:p>
    <w:p>
      <w:pPr>
        <w:pStyle w:val="227"/>
        <w:ind w:left="420" w:hanging="420" w:hangingChars="200"/>
        <w:rPr>
          <w:rFonts w:ascii="黑体" w:hAnsi="黑体" w:eastAsia="黑体" w:cs="黑体"/>
          <w:highlight w:val="none"/>
        </w:rPr>
      </w:pPr>
      <w:r>
        <w:rPr>
          <w:rFonts w:ascii="黑体" w:hAnsi="黑体" w:eastAsia="黑体"/>
          <w:highlight w:val="none"/>
        </w:rPr>
        <w:br w:type="textWrapping"/>
      </w:r>
      <w:r>
        <w:rPr>
          <w:rFonts w:hint="eastAsia" w:ascii="黑体" w:hAnsi="黑体" w:eastAsia="黑体"/>
          <w:highlight w:val="none"/>
        </w:rPr>
        <w:t>晶体硅</w:t>
      </w:r>
      <w:r>
        <w:rPr>
          <w:rFonts w:hint="eastAsia" w:ascii="黑体" w:hAnsi="黑体" w:eastAsia="黑体" w:cs="黑体"/>
          <w:highlight w:val="none"/>
        </w:rPr>
        <w:t>光伏组件  crystalline silicon photovoltaic module</w:t>
      </w:r>
    </w:p>
    <w:p>
      <w:pPr>
        <w:pStyle w:val="59"/>
        <w:ind w:firstLine="420"/>
        <w:rPr>
          <w:highlight w:val="none"/>
        </w:rPr>
      </w:pPr>
      <w:r>
        <w:rPr>
          <w:rFonts w:hint="eastAsia"/>
          <w:highlight w:val="none"/>
        </w:rPr>
        <w:t>以晶体硅光伏电池为光伏材料封装而成的组件。</w:t>
      </w:r>
    </w:p>
    <w:p>
      <w:pPr>
        <w:pStyle w:val="59"/>
        <w:ind w:firstLine="420"/>
        <w:rPr>
          <w:rStyle w:val="195"/>
          <w:highlight w:val="none"/>
        </w:rPr>
      </w:pPr>
      <w:r>
        <w:rPr>
          <w:rStyle w:val="195"/>
          <w:rFonts w:hint="eastAsia"/>
          <w:highlight w:val="none"/>
        </w:rPr>
        <w:t>[来源：IEC/TS 61836：2016</w:t>
      </w:r>
      <w:r>
        <w:rPr>
          <w:rStyle w:val="195"/>
          <w:rFonts w:hint="eastAsia"/>
          <w:highlight w:val="none"/>
          <w:lang w:eastAsia="zh-CN"/>
        </w:rPr>
        <w:t>，</w:t>
      </w:r>
      <w:r>
        <w:rPr>
          <w:rStyle w:val="195"/>
          <w:rFonts w:hint="eastAsia"/>
          <w:highlight w:val="none"/>
        </w:rPr>
        <w:t>3.1.52.1</w:t>
      </w:r>
      <w:r>
        <w:rPr>
          <w:rStyle w:val="195"/>
          <w:rFonts w:hint="eastAsia"/>
          <w:highlight w:val="none"/>
          <w:lang w:eastAsia="zh-CN"/>
        </w:rPr>
        <w:t>，</w:t>
      </w:r>
      <w:r>
        <w:rPr>
          <w:rStyle w:val="195"/>
          <w:rFonts w:hint="eastAsia"/>
          <w:highlight w:val="none"/>
        </w:rPr>
        <w:t>有修改]</w:t>
      </w:r>
    </w:p>
    <w:p>
      <w:pPr>
        <w:pStyle w:val="227"/>
        <w:ind w:left="420" w:hanging="420" w:hangingChars="200"/>
        <w:rPr>
          <w:rStyle w:val="195"/>
          <w:highlight w:val="none"/>
        </w:rPr>
      </w:pPr>
    </w:p>
    <w:p>
      <w:pPr>
        <w:pStyle w:val="59"/>
        <w:ind w:firstLine="420"/>
        <w:rPr>
          <w:rFonts w:ascii="黑体" w:hAnsi="黑体" w:eastAsia="黑体" w:cs="黑体"/>
          <w:highlight w:val="none"/>
        </w:rPr>
      </w:pPr>
      <w:r>
        <w:rPr>
          <w:rFonts w:hint="eastAsia" w:ascii="黑体" w:hAnsi="黑体" w:eastAsia="黑体" w:cs="黑体"/>
          <w:highlight w:val="none"/>
        </w:rPr>
        <w:t>产品种类  product category</w:t>
      </w:r>
    </w:p>
    <w:p>
      <w:pPr>
        <w:pStyle w:val="59"/>
        <w:ind w:firstLine="420"/>
        <w:rPr>
          <w:rStyle w:val="195"/>
          <w:highlight w:val="none"/>
        </w:rPr>
      </w:pPr>
      <w:r>
        <w:rPr>
          <w:rStyle w:val="195"/>
          <w:rFonts w:hint="eastAsia"/>
          <w:highlight w:val="none"/>
        </w:rPr>
        <w:t>具有同等功能的产品群组</w:t>
      </w:r>
    </w:p>
    <w:p>
      <w:pPr>
        <w:pStyle w:val="59"/>
        <w:ind w:firstLine="420"/>
        <w:rPr>
          <w:rStyle w:val="195"/>
          <w:highlight w:val="none"/>
        </w:rPr>
      </w:pPr>
      <w:r>
        <w:rPr>
          <w:rStyle w:val="195"/>
          <w:rFonts w:hint="eastAsia"/>
          <w:highlight w:val="none"/>
        </w:rPr>
        <w:t>[来源：GB/T 24024</w:t>
      </w:r>
      <w:r>
        <w:rPr>
          <w:rStyle w:val="195"/>
          <w:rFonts w:hint="eastAsia"/>
          <w:highlight w:val="none"/>
          <w:lang w:eastAsia="zh-CN"/>
        </w:rPr>
        <w:t>—</w:t>
      </w:r>
      <w:r>
        <w:rPr>
          <w:rStyle w:val="195"/>
          <w:rFonts w:hint="eastAsia"/>
          <w:highlight w:val="none"/>
        </w:rPr>
        <w:t>2001</w:t>
      </w:r>
      <w:r>
        <w:rPr>
          <w:rStyle w:val="195"/>
          <w:rFonts w:hint="eastAsia"/>
          <w:highlight w:val="none"/>
          <w:lang w:eastAsia="zh-CN"/>
        </w:rPr>
        <w:t>，</w:t>
      </w:r>
      <w:r>
        <w:rPr>
          <w:rStyle w:val="195"/>
          <w:rFonts w:hint="eastAsia"/>
          <w:highlight w:val="none"/>
        </w:rPr>
        <w:t>3.3]</w:t>
      </w:r>
    </w:p>
    <w:p>
      <w:pPr>
        <w:pStyle w:val="227"/>
        <w:ind w:left="420" w:hanging="420" w:hangingChars="200"/>
        <w:rPr>
          <w:rStyle w:val="195"/>
          <w:highlight w:val="none"/>
        </w:rPr>
      </w:pPr>
    </w:p>
    <w:p>
      <w:pPr>
        <w:pStyle w:val="59"/>
        <w:ind w:firstLine="420"/>
        <w:rPr>
          <w:rFonts w:hint="eastAsia" w:ascii="黑体" w:hAnsi="黑体" w:eastAsia="黑体" w:cs="黑体"/>
          <w:highlight w:val="none"/>
          <w:lang w:val="en-US" w:eastAsia="zh-CN"/>
        </w:rPr>
      </w:pPr>
      <w:r>
        <w:rPr>
          <w:rFonts w:hint="eastAsia" w:ascii="黑体" w:hAnsi="黑体" w:eastAsia="黑体" w:cs="黑体"/>
          <w:highlight w:val="none"/>
        </w:rPr>
        <w:t>产品种类规则</w:t>
      </w:r>
      <w:r>
        <w:rPr>
          <w:rFonts w:hint="eastAsia" w:ascii="黑体" w:hAnsi="黑体" w:eastAsia="黑体" w:cs="黑体"/>
          <w:highlight w:val="none"/>
          <w:lang w:val="en-US" w:eastAsia="zh-CN"/>
        </w:rPr>
        <w:t xml:space="preserve"> </w:t>
      </w:r>
    </w:p>
    <w:p>
      <w:pPr>
        <w:pStyle w:val="59"/>
        <w:ind w:firstLine="420"/>
        <w:rPr>
          <w:highlight w:val="none"/>
        </w:rPr>
      </w:pPr>
      <w:r>
        <w:rPr>
          <w:rFonts w:hint="eastAsia"/>
          <w:highlight w:val="none"/>
        </w:rPr>
        <w:t>对于一个或多个产品种类进行</w:t>
      </w:r>
      <w:r>
        <w:rPr>
          <w:rFonts w:hint="eastAsia" w:hAnsi="宋体" w:cs="宋体"/>
          <w:highlight w:val="none"/>
        </w:rPr>
        <w:t>Ⅲ型环境声明所必须满足的一套具体的规则、要求和指南。</w:t>
      </w:r>
    </w:p>
    <w:p>
      <w:pPr>
        <w:pStyle w:val="59"/>
        <w:ind w:firstLine="420"/>
        <w:rPr>
          <w:rStyle w:val="195"/>
          <w:highlight w:val="none"/>
        </w:rPr>
      </w:pPr>
      <w:r>
        <w:rPr>
          <w:rStyle w:val="195"/>
          <w:rFonts w:hint="eastAsia"/>
          <w:highlight w:val="none"/>
        </w:rPr>
        <w:t>[来源：GB/T 24025</w:t>
      </w:r>
      <w:r>
        <w:rPr>
          <w:rStyle w:val="195"/>
          <w:rFonts w:hint="eastAsia"/>
          <w:highlight w:val="none"/>
          <w:lang w:eastAsia="zh-CN"/>
        </w:rPr>
        <w:t>—</w:t>
      </w:r>
      <w:r>
        <w:rPr>
          <w:rStyle w:val="195"/>
          <w:rFonts w:hint="eastAsia"/>
          <w:highlight w:val="none"/>
        </w:rPr>
        <w:t>2009</w:t>
      </w:r>
      <w:r>
        <w:rPr>
          <w:rStyle w:val="195"/>
          <w:rFonts w:hint="eastAsia"/>
          <w:highlight w:val="none"/>
          <w:lang w:eastAsia="zh-CN"/>
        </w:rPr>
        <w:t>，</w:t>
      </w:r>
      <w:r>
        <w:rPr>
          <w:rStyle w:val="195"/>
          <w:rFonts w:hint="eastAsia"/>
          <w:highlight w:val="none"/>
        </w:rPr>
        <w:t>3.5]</w:t>
      </w:r>
    </w:p>
    <w:p>
      <w:pPr>
        <w:pStyle w:val="227"/>
        <w:ind w:left="420" w:hanging="420" w:hangingChars="200"/>
        <w:rPr>
          <w:rStyle w:val="195"/>
          <w:highlight w:val="none"/>
        </w:rPr>
      </w:pPr>
    </w:p>
    <w:p>
      <w:pPr>
        <w:pStyle w:val="227"/>
        <w:numPr>
          <w:ilvl w:val="2"/>
          <w:numId w:val="0"/>
        </w:numPr>
        <w:ind w:left="-420" w:leftChars="-200" w:firstLine="840"/>
        <w:rPr>
          <w:rFonts w:ascii="黑体" w:hAnsi="黑体" w:eastAsia="黑体" w:cs="黑体"/>
          <w:highlight w:val="none"/>
        </w:rPr>
      </w:pPr>
      <w:r>
        <w:rPr>
          <w:rFonts w:hint="eastAsia" w:ascii="黑体" w:hAnsi="黑体" w:eastAsia="黑体" w:cs="黑体"/>
          <w:highlight w:val="none"/>
        </w:rPr>
        <w:t>产品碳足迹  carbon footprint of product</w:t>
      </w:r>
      <w:r>
        <w:rPr>
          <w:rFonts w:hint="eastAsia" w:ascii="黑体" w:hAnsi="黑体" w:eastAsia="黑体" w:cs="黑体"/>
          <w:highlight w:val="none"/>
          <w:lang w:val="en-US" w:eastAsia="zh-CN"/>
        </w:rPr>
        <w:t>；</w:t>
      </w:r>
      <w:r>
        <w:rPr>
          <w:rFonts w:hint="eastAsia" w:ascii="黑体" w:hAnsi="黑体" w:eastAsia="黑体" w:cs="黑体"/>
          <w:highlight w:val="none"/>
        </w:rPr>
        <w:t>CFP</w:t>
      </w:r>
    </w:p>
    <w:p>
      <w:pPr>
        <w:pStyle w:val="59"/>
        <w:ind w:firstLine="420"/>
        <w:rPr>
          <w:rStyle w:val="195"/>
          <w:highlight w:val="none"/>
        </w:rPr>
      </w:pPr>
      <w:r>
        <w:rPr>
          <w:rFonts w:hint="eastAsia" w:hAnsi="宋体"/>
          <w:highlight w:val="none"/>
        </w:rPr>
        <w:t>基于仅考虑气候变化这一影响类型的生命周期评价，以二氧化碳当量表示的产品系统中温室气体排放量与清除量之和。</w:t>
      </w:r>
    </w:p>
    <w:p>
      <w:pPr>
        <w:pStyle w:val="59"/>
        <w:ind w:firstLine="420"/>
        <w:rPr>
          <w:rStyle w:val="195"/>
          <w:highlight w:val="none"/>
        </w:rPr>
      </w:pPr>
      <w:r>
        <w:rPr>
          <w:rStyle w:val="195"/>
          <w:rFonts w:hint="eastAsia"/>
          <w:highlight w:val="none"/>
        </w:rPr>
        <w:t>[来源：ISO 14067:2018</w:t>
      </w:r>
      <w:r>
        <w:rPr>
          <w:rStyle w:val="195"/>
          <w:rFonts w:hint="eastAsia"/>
          <w:highlight w:val="none"/>
          <w:lang w:eastAsia="zh-CN"/>
        </w:rPr>
        <w:t>，</w:t>
      </w:r>
      <w:r>
        <w:rPr>
          <w:rStyle w:val="195"/>
          <w:rFonts w:hint="eastAsia"/>
          <w:highlight w:val="none"/>
        </w:rPr>
        <w:t>3.1.1.1]</w:t>
      </w:r>
    </w:p>
    <w:p>
      <w:pPr>
        <w:pStyle w:val="227"/>
        <w:ind w:left="420" w:hanging="420" w:hangingChars="200"/>
        <w:rPr>
          <w:rStyle w:val="195"/>
          <w:highlight w:val="none"/>
        </w:rPr>
      </w:pPr>
    </w:p>
    <w:p>
      <w:pPr>
        <w:pStyle w:val="59"/>
        <w:ind w:firstLine="420"/>
        <w:rPr>
          <w:rFonts w:ascii="黑体" w:hAnsi="黑体" w:eastAsia="黑体" w:cs="黑体"/>
          <w:highlight w:val="none"/>
        </w:rPr>
      </w:pPr>
      <w:r>
        <w:rPr>
          <w:rFonts w:hint="eastAsia" w:ascii="黑体" w:hAnsi="黑体" w:eastAsia="黑体" w:cs="黑体"/>
          <w:highlight w:val="none"/>
        </w:rPr>
        <w:t>温室气体  greenhouse gas</w:t>
      </w:r>
      <w:r>
        <w:rPr>
          <w:rFonts w:hint="eastAsia" w:ascii="黑体" w:hAnsi="黑体" w:eastAsia="黑体" w:cs="黑体"/>
          <w:highlight w:val="none"/>
          <w:lang w:eastAsia="zh-CN"/>
        </w:rPr>
        <w:t>；</w:t>
      </w:r>
      <w:r>
        <w:rPr>
          <w:rFonts w:hint="eastAsia" w:ascii="黑体" w:hAnsi="黑体" w:eastAsia="黑体" w:cs="黑体"/>
          <w:highlight w:val="none"/>
        </w:rPr>
        <w:t>GHG</w:t>
      </w:r>
    </w:p>
    <w:p>
      <w:pPr>
        <w:pStyle w:val="59"/>
        <w:ind w:firstLine="420"/>
        <w:rPr>
          <w:rStyle w:val="195"/>
          <w:highlight w:val="none"/>
        </w:rPr>
      </w:pPr>
      <w:r>
        <w:rPr>
          <w:rStyle w:val="195"/>
          <w:rFonts w:hint="eastAsia"/>
          <w:highlight w:val="none"/>
        </w:rPr>
        <w:t>大气层中自然存在的和由于人类活动产生的能够吸收和散发由地球表面、大气层、云层所产生的、波长在红外光谱内的辐射的气态成分。</w:t>
      </w:r>
    </w:p>
    <w:p>
      <w:pPr>
        <w:pStyle w:val="59"/>
        <w:ind w:firstLine="420"/>
        <w:rPr>
          <w:rStyle w:val="195"/>
          <w:highlight w:val="none"/>
        </w:rPr>
      </w:pPr>
      <w:r>
        <w:rPr>
          <w:rStyle w:val="195"/>
          <w:rFonts w:hint="eastAsia"/>
          <w:highlight w:val="none"/>
        </w:rPr>
        <w:t>[来源：GB/T 32150</w:t>
      </w:r>
      <w:r>
        <w:rPr>
          <w:rStyle w:val="195"/>
          <w:rFonts w:hint="eastAsia"/>
          <w:highlight w:val="none"/>
          <w:lang w:eastAsia="zh-CN"/>
        </w:rPr>
        <w:t>—</w:t>
      </w:r>
      <w:r>
        <w:rPr>
          <w:rStyle w:val="195"/>
          <w:rFonts w:hint="eastAsia"/>
          <w:highlight w:val="none"/>
        </w:rPr>
        <w:t>2015</w:t>
      </w:r>
      <w:r>
        <w:rPr>
          <w:rStyle w:val="195"/>
          <w:rFonts w:hint="eastAsia"/>
          <w:highlight w:val="none"/>
          <w:lang w:eastAsia="zh-CN"/>
        </w:rPr>
        <w:t>，</w:t>
      </w:r>
      <w:r>
        <w:rPr>
          <w:rStyle w:val="195"/>
          <w:rFonts w:hint="eastAsia"/>
          <w:highlight w:val="none"/>
        </w:rPr>
        <w:t>3.1]</w:t>
      </w:r>
    </w:p>
    <w:p>
      <w:pPr>
        <w:pStyle w:val="183"/>
        <w:rPr>
          <w:sz w:val="20"/>
          <w:highlight w:val="none"/>
        </w:rPr>
      </w:pPr>
      <w:r>
        <w:rPr>
          <w:rStyle w:val="195"/>
          <w:rFonts w:hint="eastAsia"/>
          <w:sz w:val="18"/>
          <w:szCs w:val="16"/>
          <w:highlight w:val="none"/>
        </w:rPr>
        <w:t>本文件中的温室气体包括二氧化碳（CO</w:t>
      </w:r>
      <w:r>
        <w:rPr>
          <w:rStyle w:val="195"/>
          <w:rFonts w:hint="eastAsia"/>
          <w:sz w:val="18"/>
          <w:szCs w:val="16"/>
          <w:highlight w:val="none"/>
          <w:vertAlign w:val="subscript"/>
        </w:rPr>
        <w:t>2</w:t>
      </w:r>
      <w:r>
        <w:rPr>
          <w:rStyle w:val="195"/>
          <w:rFonts w:hint="eastAsia"/>
          <w:sz w:val="18"/>
          <w:szCs w:val="16"/>
          <w:highlight w:val="none"/>
        </w:rPr>
        <w:t>）、甲烷（CH</w:t>
      </w:r>
      <w:r>
        <w:rPr>
          <w:rStyle w:val="195"/>
          <w:rFonts w:hint="eastAsia"/>
          <w:sz w:val="18"/>
          <w:szCs w:val="16"/>
          <w:highlight w:val="none"/>
          <w:vertAlign w:val="subscript"/>
        </w:rPr>
        <w:t>4</w:t>
      </w:r>
      <w:r>
        <w:rPr>
          <w:rStyle w:val="195"/>
          <w:rFonts w:hint="eastAsia"/>
          <w:sz w:val="18"/>
          <w:szCs w:val="16"/>
          <w:highlight w:val="none"/>
        </w:rPr>
        <w:t>）、氧化亚氮（N</w:t>
      </w:r>
      <w:r>
        <w:rPr>
          <w:rStyle w:val="195"/>
          <w:rFonts w:hint="eastAsia"/>
          <w:sz w:val="18"/>
          <w:szCs w:val="16"/>
          <w:highlight w:val="none"/>
          <w:vertAlign w:val="subscript"/>
        </w:rPr>
        <w:t>2</w:t>
      </w:r>
      <w:r>
        <w:rPr>
          <w:rStyle w:val="195"/>
          <w:rFonts w:hint="eastAsia"/>
          <w:sz w:val="18"/>
          <w:szCs w:val="16"/>
          <w:highlight w:val="none"/>
        </w:rPr>
        <w:t>O）、氢氟碳化物（HFCs）、全氟碳化物（PFCs）、六氟化硫（SF</w:t>
      </w:r>
      <w:r>
        <w:rPr>
          <w:rStyle w:val="195"/>
          <w:rFonts w:hint="eastAsia"/>
          <w:sz w:val="18"/>
          <w:szCs w:val="16"/>
          <w:highlight w:val="none"/>
          <w:vertAlign w:val="subscript"/>
        </w:rPr>
        <w:t>6</w:t>
      </w:r>
      <w:r>
        <w:rPr>
          <w:rStyle w:val="195"/>
          <w:rFonts w:hint="eastAsia"/>
          <w:sz w:val="18"/>
          <w:szCs w:val="16"/>
          <w:highlight w:val="none"/>
        </w:rPr>
        <w:t>）与三氟化氮（NF</w:t>
      </w:r>
      <w:r>
        <w:rPr>
          <w:rStyle w:val="195"/>
          <w:rFonts w:hint="eastAsia"/>
          <w:sz w:val="18"/>
          <w:szCs w:val="16"/>
          <w:highlight w:val="none"/>
          <w:vertAlign w:val="subscript"/>
        </w:rPr>
        <w:t>3</w:t>
      </w:r>
      <w:r>
        <w:rPr>
          <w:rStyle w:val="195"/>
          <w:rFonts w:hint="eastAsia"/>
          <w:sz w:val="18"/>
          <w:szCs w:val="16"/>
          <w:highlight w:val="none"/>
        </w:rPr>
        <w:t>）。</w:t>
      </w:r>
    </w:p>
    <w:p>
      <w:pPr>
        <w:pStyle w:val="227"/>
        <w:ind w:left="420" w:hanging="420" w:hangingChars="200"/>
        <w:rPr>
          <w:rStyle w:val="195"/>
          <w:highlight w:val="none"/>
        </w:rPr>
      </w:pPr>
    </w:p>
    <w:p>
      <w:pPr>
        <w:pStyle w:val="59"/>
        <w:ind w:firstLine="420"/>
        <w:rPr>
          <w:rFonts w:ascii="黑体" w:hAnsi="黑体" w:eastAsia="黑体" w:cs="黑体"/>
          <w:highlight w:val="none"/>
        </w:rPr>
      </w:pPr>
      <w:r>
        <w:rPr>
          <w:rFonts w:hint="eastAsia" w:ascii="黑体" w:hAnsi="黑体" w:eastAsia="黑体" w:cs="黑体"/>
          <w:highlight w:val="none"/>
        </w:rPr>
        <w:t>生命周期  life cycle</w:t>
      </w:r>
    </w:p>
    <w:p>
      <w:pPr>
        <w:pStyle w:val="59"/>
        <w:ind w:firstLine="420"/>
        <w:rPr>
          <w:highlight w:val="none"/>
        </w:rPr>
      </w:pPr>
      <w:r>
        <w:rPr>
          <w:rFonts w:hint="eastAsia"/>
          <w:highlight w:val="none"/>
        </w:rPr>
        <w:t>产品系统中前后衔接的一系列阶段，从自然界或从自然资源中获取原材料，直至最终处置。</w:t>
      </w:r>
    </w:p>
    <w:p>
      <w:pPr>
        <w:pStyle w:val="59"/>
        <w:ind w:firstLine="420"/>
        <w:rPr>
          <w:rStyle w:val="195"/>
          <w:highlight w:val="none"/>
        </w:rPr>
      </w:pPr>
      <w:r>
        <w:rPr>
          <w:rStyle w:val="195"/>
          <w:rFonts w:hint="eastAsia"/>
          <w:highlight w:val="none"/>
        </w:rPr>
        <w:t>[来源：GB/T 24040</w:t>
      </w:r>
      <w:r>
        <w:rPr>
          <w:rStyle w:val="195"/>
          <w:rFonts w:hint="eastAsia"/>
          <w:highlight w:val="none"/>
          <w:lang w:eastAsia="zh-CN"/>
        </w:rPr>
        <w:t>—</w:t>
      </w:r>
      <w:r>
        <w:rPr>
          <w:rStyle w:val="195"/>
          <w:rFonts w:hint="eastAsia"/>
          <w:highlight w:val="none"/>
        </w:rPr>
        <w:t>2008</w:t>
      </w:r>
      <w:r>
        <w:rPr>
          <w:rStyle w:val="195"/>
          <w:rFonts w:hint="eastAsia"/>
          <w:highlight w:val="none"/>
          <w:lang w:eastAsia="zh-CN"/>
        </w:rPr>
        <w:t>，</w:t>
      </w:r>
      <w:r>
        <w:rPr>
          <w:rStyle w:val="195"/>
          <w:rFonts w:hint="eastAsia"/>
          <w:highlight w:val="none"/>
        </w:rPr>
        <w:t>3.1]</w:t>
      </w:r>
    </w:p>
    <w:p>
      <w:pPr>
        <w:pStyle w:val="227"/>
        <w:ind w:left="420" w:hanging="420" w:hangingChars="200"/>
        <w:rPr>
          <w:rStyle w:val="195"/>
          <w:highlight w:val="none"/>
        </w:rPr>
      </w:pPr>
    </w:p>
    <w:p>
      <w:pPr>
        <w:spacing w:line="240" w:lineRule="auto"/>
        <w:ind w:firstLine="425"/>
        <w:rPr>
          <w:rFonts w:ascii="黑体" w:hAnsi="黑体" w:eastAsia="黑体" w:cs="黑体"/>
          <w:highlight w:val="none"/>
        </w:rPr>
      </w:pPr>
      <w:r>
        <w:rPr>
          <w:rFonts w:hint="eastAsia" w:ascii="黑体" w:hAnsi="黑体" w:eastAsia="黑体" w:cs="黑体"/>
          <w:highlight w:val="none"/>
        </w:rPr>
        <w:t>二氧化碳当量  carbon dioxide equivalent</w:t>
      </w:r>
    </w:p>
    <w:p>
      <w:pPr>
        <w:pStyle w:val="59"/>
        <w:ind w:firstLine="420"/>
        <w:rPr>
          <w:rStyle w:val="195"/>
          <w:rFonts w:ascii="Times New Roman"/>
          <w:highlight w:val="none"/>
        </w:rPr>
      </w:pPr>
      <w:r>
        <w:rPr>
          <w:rStyle w:val="195"/>
          <w:rFonts w:hint="eastAsia" w:ascii="Times New Roman"/>
          <w:highlight w:val="none"/>
        </w:rPr>
        <w:t>将某一种温室气体的辐射强迫与二氧化碳的辐射强迫进行比较的单位</w:t>
      </w:r>
    </w:p>
    <w:p>
      <w:pPr>
        <w:pStyle w:val="59"/>
        <w:ind w:firstLine="420"/>
        <w:rPr>
          <w:rFonts w:ascii="Tahoma" w:hAnsi="Tahoma" w:eastAsia="Tahoma" w:cs="Tahoma"/>
          <w:szCs w:val="21"/>
          <w:highlight w:val="none"/>
          <w:shd w:val="clear" w:color="auto" w:fill="F7F8FA"/>
        </w:rPr>
      </w:pPr>
      <w:r>
        <w:rPr>
          <w:rStyle w:val="195"/>
          <w:rFonts w:hint="eastAsia"/>
          <w:highlight w:val="none"/>
        </w:rPr>
        <w:t>[来源：ISO 14064</w:t>
      </w:r>
      <w:r>
        <w:rPr>
          <w:rStyle w:val="195"/>
          <w:rFonts w:hint="eastAsia"/>
          <w:b w:val="0"/>
          <w:bCs w:val="0"/>
          <w:highlight w:val="none"/>
        </w:rPr>
        <w:t>-</w:t>
      </w:r>
      <w:r>
        <w:rPr>
          <w:rStyle w:val="195"/>
          <w:rFonts w:hint="eastAsia"/>
          <w:highlight w:val="none"/>
        </w:rPr>
        <w:t>1:2018</w:t>
      </w:r>
      <w:r>
        <w:rPr>
          <w:rStyle w:val="195"/>
          <w:rFonts w:hint="eastAsia"/>
          <w:highlight w:val="none"/>
          <w:lang w:eastAsia="zh-CN"/>
        </w:rPr>
        <w:t>，</w:t>
      </w:r>
      <w:r>
        <w:rPr>
          <w:rStyle w:val="195"/>
          <w:rFonts w:hint="eastAsia"/>
          <w:highlight w:val="none"/>
        </w:rPr>
        <w:t>3.1.13，有修改]</w:t>
      </w:r>
    </w:p>
    <w:p>
      <w:pPr>
        <w:pStyle w:val="227"/>
        <w:tabs>
          <w:tab w:val="left" w:pos="1682"/>
        </w:tabs>
        <w:ind w:left="420" w:hanging="420" w:hangingChars="200"/>
        <w:rPr>
          <w:rStyle w:val="195"/>
          <w:highlight w:val="none"/>
        </w:rPr>
      </w:pPr>
    </w:p>
    <w:p>
      <w:pPr>
        <w:spacing w:line="240" w:lineRule="auto"/>
        <w:ind w:firstLine="425"/>
        <w:rPr>
          <w:rFonts w:ascii="黑体" w:hAnsi="黑体" w:eastAsia="黑体" w:cs="黑体"/>
          <w:highlight w:val="none"/>
        </w:rPr>
      </w:pPr>
      <w:r>
        <w:rPr>
          <w:rFonts w:hint="eastAsia" w:ascii="黑体" w:hAnsi="黑体" w:eastAsia="黑体" w:cs="黑体"/>
          <w:highlight w:val="none"/>
        </w:rPr>
        <w:t>功能单位  functional unit</w:t>
      </w:r>
    </w:p>
    <w:p>
      <w:pPr>
        <w:spacing w:line="240" w:lineRule="auto"/>
        <w:ind w:firstLine="425"/>
        <w:rPr>
          <w:rFonts w:ascii="宋体" w:hAnsi="宋体" w:cs="宋体"/>
          <w:highlight w:val="none"/>
        </w:rPr>
      </w:pPr>
      <w:r>
        <w:rPr>
          <w:rFonts w:hint="eastAsia" w:ascii="宋体" w:hAnsi="宋体" w:cs="宋体"/>
          <w:highlight w:val="none"/>
        </w:rPr>
        <w:t>用来作为基准单位的量化的产品系统性能。</w:t>
      </w:r>
    </w:p>
    <w:p>
      <w:pPr>
        <w:spacing w:line="240" w:lineRule="auto"/>
        <w:ind w:firstLine="425"/>
        <w:rPr>
          <w:rFonts w:ascii="宋体" w:hAnsi="宋体" w:cs="宋体"/>
          <w:highlight w:val="none"/>
        </w:rPr>
      </w:pPr>
      <w:r>
        <w:rPr>
          <w:rFonts w:hint="eastAsia" w:ascii="宋体" w:hAnsi="宋体" w:cs="宋体"/>
          <w:highlight w:val="none"/>
        </w:rPr>
        <w:t>［</w:t>
      </w:r>
      <w:r>
        <w:rPr>
          <w:rStyle w:val="195"/>
          <w:rFonts w:hint="eastAsia"/>
          <w:highlight w:val="none"/>
        </w:rPr>
        <w:t>来源：</w:t>
      </w:r>
      <w:r>
        <w:rPr>
          <w:rFonts w:hint="eastAsia" w:ascii="宋体" w:hAnsi="宋体" w:cs="宋体"/>
          <w:highlight w:val="none"/>
        </w:rPr>
        <w:t>GB/T 24040</w:t>
      </w:r>
      <w:r>
        <w:rPr>
          <w:rFonts w:hint="eastAsia" w:ascii="宋体" w:hAnsi="宋体" w:cs="宋体"/>
          <w:highlight w:val="none"/>
          <w:lang w:eastAsia="zh-CN"/>
        </w:rPr>
        <w:t>—</w:t>
      </w:r>
      <w:r>
        <w:rPr>
          <w:rFonts w:hint="eastAsia" w:ascii="宋体" w:hAnsi="宋体" w:cs="宋体"/>
          <w:highlight w:val="none"/>
        </w:rPr>
        <w:t>2008</w:t>
      </w:r>
      <w:r>
        <w:rPr>
          <w:rFonts w:hint="eastAsia" w:ascii="宋体" w:hAnsi="宋体" w:cs="宋体"/>
          <w:highlight w:val="none"/>
          <w:lang w:eastAsia="zh-CN"/>
        </w:rPr>
        <w:t>，</w:t>
      </w:r>
      <w:r>
        <w:rPr>
          <w:rFonts w:hint="eastAsia" w:ascii="宋体" w:hAnsi="宋体" w:cs="宋体"/>
          <w:highlight w:val="none"/>
        </w:rPr>
        <w:t>3.20］</w:t>
      </w:r>
    </w:p>
    <w:p>
      <w:pPr>
        <w:pStyle w:val="227"/>
        <w:ind w:left="420" w:hanging="420" w:hangingChars="200"/>
        <w:rPr>
          <w:rStyle w:val="195"/>
          <w:highlight w:val="none"/>
        </w:rPr>
      </w:pPr>
    </w:p>
    <w:p>
      <w:pPr>
        <w:spacing w:line="240" w:lineRule="auto"/>
        <w:ind w:firstLine="425"/>
        <w:rPr>
          <w:rFonts w:ascii="黑体" w:hAnsi="黑体" w:eastAsia="黑体" w:cs="黑体"/>
          <w:highlight w:val="none"/>
        </w:rPr>
      </w:pPr>
      <w:r>
        <w:rPr>
          <w:rFonts w:hint="eastAsia" w:ascii="黑体" w:hAnsi="黑体" w:eastAsia="黑体" w:cs="黑体"/>
          <w:highlight w:val="none"/>
        </w:rPr>
        <w:t>系统边界  system bundary</w:t>
      </w:r>
    </w:p>
    <w:p>
      <w:pPr>
        <w:spacing w:line="240" w:lineRule="auto"/>
        <w:ind w:firstLine="425"/>
        <w:rPr>
          <w:rFonts w:ascii="宋体" w:hAnsi="宋体" w:cs="宋体"/>
          <w:highlight w:val="none"/>
        </w:rPr>
      </w:pPr>
      <w:r>
        <w:rPr>
          <w:rFonts w:hint="eastAsia" w:ascii="宋体" w:hAnsi="宋体" w:cs="宋体"/>
          <w:highlight w:val="none"/>
        </w:rPr>
        <w:t>通过一组准则确定哪些单元过程属于产品系统的一部分。</w:t>
      </w:r>
    </w:p>
    <w:p>
      <w:pPr>
        <w:spacing w:line="240" w:lineRule="auto"/>
        <w:ind w:firstLine="425"/>
        <w:rPr>
          <w:rFonts w:ascii="宋体" w:hAnsi="宋体" w:cs="宋体"/>
          <w:highlight w:val="none"/>
        </w:rPr>
      </w:pPr>
      <w:r>
        <w:rPr>
          <w:rFonts w:hint="eastAsia" w:ascii="宋体" w:hAnsi="宋体" w:cs="宋体"/>
          <w:highlight w:val="none"/>
        </w:rPr>
        <w:t>［</w:t>
      </w:r>
      <w:r>
        <w:rPr>
          <w:rStyle w:val="195"/>
          <w:rFonts w:hint="eastAsia"/>
          <w:highlight w:val="none"/>
        </w:rPr>
        <w:t>来源：</w:t>
      </w:r>
      <w:r>
        <w:rPr>
          <w:rFonts w:hint="eastAsia" w:ascii="宋体" w:hAnsi="宋体" w:cs="宋体"/>
          <w:highlight w:val="none"/>
        </w:rPr>
        <w:t>GB/T 24040</w:t>
      </w:r>
      <w:r>
        <w:rPr>
          <w:rFonts w:hint="eastAsia" w:ascii="宋体" w:hAnsi="宋体" w:cs="宋体"/>
          <w:highlight w:val="none"/>
          <w:lang w:eastAsia="zh-CN"/>
        </w:rPr>
        <w:t>—</w:t>
      </w:r>
      <w:r>
        <w:rPr>
          <w:rFonts w:hint="eastAsia" w:ascii="宋体" w:hAnsi="宋体" w:cs="宋体"/>
          <w:highlight w:val="none"/>
        </w:rPr>
        <w:t>2008，</w:t>
      </w:r>
      <w:bookmarkStart w:id="70" w:name="_GoBack"/>
      <w:bookmarkEnd w:id="70"/>
      <w:r>
        <w:rPr>
          <w:rFonts w:hint="eastAsia" w:ascii="宋体" w:hAnsi="宋体" w:cs="宋体"/>
          <w:highlight w:val="none"/>
        </w:rPr>
        <w:t>3.32］</w:t>
      </w:r>
    </w:p>
    <w:p>
      <w:pPr>
        <w:pStyle w:val="227"/>
        <w:ind w:left="420" w:hanging="420" w:hangingChars="200"/>
        <w:rPr>
          <w:rStyle w:val="195"/>
          <w:highlight w:val="none"/>
        </w:rPr>
      </w:pPr>
    </w:p>
    <w:p>
      <w:pPr>
        <w:spacing w:line="240" w:lineRule="auto"/>
        <w:ind w:firstLine="425"/>
        <w:rPr>
          <w:rFonts w:ascii="黑体" w:hAnsi="黑体" w:eastAsia="黑体" w:cs="黑体"/>
          <w:highlight w:val="none"/>
        </w:rPr>
      </w:pPr>
      <w:r>
        <w:rPr>
          <w:rFonts w:hint="eastAsia" w:ascii="黑体" w:hAnsi="黑体" w:eastAsia="黑体" w:cs="黑体"/>
          <w:highlight w:val="none"/>
        </w:rPr>
        <w:t>现场数据  primary data</w:t>
      </w:r>
    </w:p>
    <w:p>
      <w:pPr>
        <w:pStyle w:val="59"/>
        <w:ind w:firstLine="420"/>
        <w:rPr>
          <w:rStyle w:val="195"/>
          <w:rFonts w:ascii="Times New Roman"/>
          <w:highlight w:val="none"/>
        </w:rPr>
      </w:pPr>
      <w:r>
        <w:rPr>
          <w:rStyle w:val="195"/>
          <w:rFonts w:hint="eastAsia" w:ascii="Times New Roman"/>
          <w:highlight w:val="none"/>
        </w:rPr>
        <w:t>从直接测量或基于直接测量的计算中获得的过程或活动的量化值。</w:t>
      </w:r>
    </w:p>
    <w:p>
      <w:pPr>
        <w:pStyle w:val="59"/>
        <w:ind w:firstLine="420"/>
        <w:rPr>
          <w:rStyle w:val="195"/>
          <w:highlight w:val="none"/>
        </w:rPr>
      </w:pPr>
      <w:r>
        <w:rPr>
          <w:rFonts w:hint="eastAsia" w:hAnsi="宋体" w:cs="宋体"/>
          <w:szCs w:val="21"/>
          <w:highlight w:val="none"/>
        </w:rPr>
        <w:t>［</w:t>
      </w:r>
      <w:r>
        <w:rPr>
          <w:rStyle w:val="195"/>
          <w:rFonts w:hint="eastAsia"/>
          <w:highlight w:val="none"/>
        </w:rPr>
        <w:t>来源：ISO 14064-1:2018</w:t>
      </w:r>
      <w:r>
        <w:rPr>
          <w:rStyle w:val="195"/>
          <w:rFonts w:hint="eastAsia"/>
          <w:highlight w:val="none"/>
          <w:lang w:eastAsia="zh-CN"/>
        </w:rPr>
        <w:t>，</w:t>
      </w:r>
      <w:r>
        <w:rPr>
          <w:rStyle w:val="195"/>
          <w:rFonts w:hint="eastAsia"/>
          <w:highlight w:val="none"/>
        </w:rPr>
        <w:t>3.2.2</w:t>
      </w:r>
      <w:r>
        <w:rPr>
          <w:rFonts w:hint="eastAsia" w:hAnsi="宋体" w:cs="宋体"/>
          <w:szCs w:val="21"/>
          <w:highlight w:val="none"/>
        </w:rPr>
        <w:t>］</w:t>
      </w:r>
    </w:p>
    <w:p>
      <w:pPr>
        <w:pStyle w:val="227"/>
        <w:ind w:left="420" w:hanging="420" w:hangingChars="200"/>
        <w:rPr>
          <w:rStyle w:val="195"/>
          <w:highlight w:val="none"/>
        </w:rPr>
      </w:pPr>
    </w:p>
    <w:p>
      <w:pPr>
        <w:spacing w:line="240" w:lineRule="auto"/>
        <w:ind w:firstLine="425"/>
        <w:rPr>
          <w:rFonts w:ascii="黑体" w:hAnsi="黑体" w:eastAsia="黑体" w:cs="黑体"/>
          <w:highlight w:val="none"/>
        </w:rPr>
      </w:pPr>
      <w:r>
        <w:rPr>
          <w:rFonts w:hint="eastAsia" w:ascii="黑体" w:hAnsi="黑体" w:eastAsia="黑体" w:cs="黑体"/>
          <w:highlight w:val="none"/>
        </w:rPr>
        <w:t>背景数据  secondary data</w:t>
      </w:r>
    </w:p>
    <w:p>
      <w:pPr>
        <w:pStyle w:val="59"/>
        <w:ind w:firstLine="420"/>
        <w:rPr>
          <w:rStyle w:val="195"/>
          <w:rFonts w:ascii="Times New Roman"/>
          <w:highlight w:val="none"/>
        </w:rPr>
      </w:pPr>
      <w:r>
        <w:rPr>
          <w:rStyle w:val="195"/>
          <w:rFonts w:hint="eastAsia" w:ascii="Times New Roman"/>
          <w:highlight w:val="none"/>
        </w:rPr>
        <w:t>从现场数据以外的来源获得的数据。</w:t>
      </w:r>
    </w:p>
    <w:p>
      <w:pPr>
        <w:pStyle w:val="59"/>
        <w:ind w:firstLine="420"/>
        <w:rPr>
          <w:rStyle w:val="195"/>
          <w:highlight w:val="none"/>
        </w:rPr>
      </w:pPr>
      <w:r>
        <w:rPr>
          <w:rFonts w:hint="eastAsia" w:hAnsi="宋体" w:cs="宋体"/>
          <w:szCs w:val="21"/>
          <w:highlight w:val="none"/>
        </w:rPr>
        <w:t>［</w:t>
      </w:r>
      <w:r>
        <w:rPr>
          <w:rStyle w:val="195"/>
          <w:rFonts w:hint="eastAsia"/>
          <w:highlight w:val="none"/>
        </w:rPr>
        <w:t>来源：ISO 14064-1:2018</w:t>
      </w:r>
      <w:r>
        <w:rPr>
          <w:rStyle w:val="195"/>
          <w:rFonts w:hint="eastAsia"/>
          <w:highlight w:val="none"/>
          <w:lang w:eastAsia="zh-CN"/>
        </w:rPr>
        <w:t>，</w:t>
      </w:r>
      <w:r>
        <w:rPr>
          <w:rStyle w:val="195"/>
          <w:rFonts w:hint="eastAsia"/>
          <w:highlight w:val="none"/>
        </w:rPr>
        <w:t>3.2.4</w:t>
      </w:r>
      <w:r>
        <w:rPr>
          <w:rFonts w:hint="eastAsia" w:hAnsi="宋体" w:cs="宋体"/>
          <w:szCs w:val="21"/>
          <w:highlight w:val="none"/>
        </w:rPr>
        <w:t>］</w:t>
      </w:r>
    </w:p>
    <w:p>
      <w:pPr>
        <w:pStyle w:val="227"/>
        <w:ind w:left="420" w:hanging="420" w:hangingChars="200"/>
        <w:rPr>
          <w:rStyle w:val="195"/>
          <w:highlight w:val="none"/>
        </w:rPr>
      </w:pPr>
    </w:p>
    <w:p>
      <w:pPr>
        <w:spacing w:line="240" w:lineRule="auto"/>
        <w:ind w:firstLine="425"/>
        <w:rPr>
          <w:rFonts w:ascii="黑体" w:hAnsi="黑体" w:eastAsia="黑体" w:cs="黑体"/>
          <w:highlight w:val="none"/>
        </w:rPr>
      </w:pPr>
      <w:r>
        <w:rPr>
          <w:rFonts w:hint="eastAsia" w:ascii="黑体" w:hAnsi="黑体" w:eastAsia="黑体" w:cs="黑体"/>
          <w:highlight w:val="none"/>
        </w:rPr>
        <w:t>全球增温潜势</w:t>
      </w:r>
      <w:r>
        <w:rPr>
          <w:rFonts w:hint="eastAsia" w:ascii="黑体" w:hAnsi="黑体" w:eastAsia="黑体" w:cs="黑体"/>
          <w:highlight w:val="none"/>
          <w:lang w:val="en-US" w:eastAsia="zh-CN"/>
        </w:rPr>
        <w:t xml:space="preserve"> </w:t>
      </w:r>
      <w:r>
        <w:rPr>
          <w:rFonts w:hint="eastAsia" w:ascii="黑体" w:hAnsi="黑体" w:eastAsia="黑体" w:cs="黑体"/>
          <w:highlight w:val="none"/>
        </w:rPr>
        <w:t xml:space="preserve"> global warming potential</w:t>
      </w:r>
    </w:p>
    <w:p>
      <w:pPr>
        <w:pStyle w:val="59"/>
        <w:ind w:firstLine="420"/>
        <w:rPr>
          <w:rStyle w:val="195"/>
          <w:highlight w:val="none"/>
        </w:rPr>
      </w:pPr>
      <w:r>
        <w:rPr>
          <w:rStyle w:val="195"/>
          <w:rFonts w:hint="eastAsia"/>
          <w:highlight w:val="none"/>
        </w:rPr>
        <w:t>将单位质量的某种温室气体在给定时间段内辐射强迫的影响与等量二氧化碳辐射强迫影响相关联的系数。</w:t>
      </w:r>
    </w:p>
    <w:p>
      <w:pPr>
        <w:pStyle w:val="59"/>
        <w:ind w:firstLine="420"/>
        <w:rPr>
          <w:rFonts w:hAnsi="宋体" w:cs="宋体"/>
          <w:kern w:val="2"/>
          <w:szCs w:val="21"/>
          <w:highlight w:val="none"/>
        </w:rPr>
      </w:pPr>
      <w:r>
        <w:rPr>
          <w:rStyle w:val="195"/>
          <w:rFonts w:hint="eastAsia"/>
          <w:highlight w:val="none"/>
        </w:rPr>
        <w:t>[来源：ISO 14064-1:2018</w:t>
      </w:r>
      <w:r>
        <w:rPr>
          <w:rStyle w:val="195"/>
          <w:rFonts w:hint="eastAsia"/>
          <w:highlight w:val="none"/>
          <w:lang w:eastAsia="zh-CN"/>
        </w:rPr>
        <w:t>，</w:t>
      </w:r>
      <w:r>
        <w:rPr>
          <w:rStyle w:val="195"/>
          <w:rFonts w:hint="eastAsia"/>
          <w:highlight w:val="none"/>
        </w:rPr>
        <w:t>3.1.12，有修改]</w:t>
      </w:r>
    </w:p>
    <w:p>
      <w:pPr>
        <w:pStyle w:val="107"/>
        <w:spacing w:before="240" w:after="240"/>
        <w:rPr>
          <w:highlight w:val="none"/>
        </w:rPr>
      </w:pPr>
      <w:bookmarkStart w:id="54" w:name="_Toc79045639"/>
      <w:bookmarkEnd w:id="54"/>
      <w:bookmarkStart w:id="55" w:name="_Toc20807"/>
      <w:r>
        <w:rPr>
          <w:rFonts w:hint="eastAsia"/>
          <w:highlight w:val="none"/>
        </w:rPr>
        <w:t>产品碳足迹评价</w:t>
      </w:r>
      <w:bookmarkEnd w:id="55"/>
    </w:p>
    <w:p>
      <w:pPr>
        <w:pStyle w:val="108"/>
        <w:spacing w:before="120" w:after="120"/>
        <w:rPr>
          <w:highlight w:val="none"/>
        </w:rPr>
      </w:pPr>
      <w:bookmarkStart w:id="56" w:name="_Toc31852"/>
      <w:r>
        <w:rPr>
          <w:rFonts w:hint="eastAsia"/>
          <w:highlight w:val="none"/>
        </w:rPr>
        <w:t>产品描述</w:t>
      </w:r>
      <w:bookmarkEnd w:id="56"/>
    </w:p>
    <w:p>
      <w:pPr>
        <w:pStyle w:val="59"/>
        <w:ind w:firstLine="420"/>
        <w:rPr>
          <w:rStyle w:val="195"/>
          <w:rFonts w:ascii="Times New Roman"/>
          <w:highlight w:val="none"/>
        </w:rPr>
      </w:pPr>
      <w:r>
        <w:rPr>
          <w:rStyle w:val="195"/>
          <w:rFonts w:hint="eastAsia" w:ascii="Times New Roman"/>
          <w:highlight w:val="none"/>
        </w:rPr>
        <w:t>产品描述应使用户能够明确地识别产品，应至少包括以下内容：</w:t>
      </w:r>
    </w:p>
    <w:p>
      <w:pPr>
        <w:pStyle w:val="178"/>
        <w:rPr>
          <w:highlight w:val="none"/>
        </w:rPr>
      </w:pPr>
      <w:r>
        <w:rPr>
          <w:rFonts w:hint="eastAsia"/>
          <w:highlight w:val="none"/>
        </w:rPr>
        <w:t>产品名称（型号、规格、分类、用途）；</w:t>
      </w:r>
    </w:p>
    <w:p>
      <w:pPr>
        <w:pStyle w:val="178"/>
        <w:rPr>
          <w:highlight w:val="none"/>
        </w:rPr>
      </w:pPr>
      <w:r>
        <w:rPr>
          <w:rFonts w:hint="eastAsia"/>
          <w:highlight w:val="none"/>
        </w:rPr>
        <w:t>产品的简单示意图；</w:t>
      </w:r>
    </w:p>
    <w:p>
      <w:pPr>
        <w:pStyle w:val="178"/>
        <w:rPr>
          <w:highlight w:val="none"/>
        </w:rPr>
      </w:pPr>
      <w:r>
        <w:rPr>
          <w:rFonts w:hint="eastAsia"/>
          <w:highlight w:val="none"/>
        </w:rPr>
        <w:t>产品的主要技术参数和性能；</w:t>
      </w:r>
    </w:p>
    <w:p>
      <w:pPr>
        <w:pStyle w:val="178"/>
        <w:rPr>
          <w:highlight w:val="none"/>
        </w:rPr>
      </w:pPr>
      <w:r>
        <w:rPr>
          <w:rFonts w:hint="eastAsia"/>
          <w:highlight w:val="none"/>
        </w:rPr>
        <w:t>产品规格书或说明书；</w:t>
      </w:r>
    </w:p>
    <w:p>
      <w:pPr>
        <w:pStyle w:val="178"/>
        <w:rPr>
          <w:highlight w:val="none"/>
        </w:rPr>
      </w:pPr>
      <w:r>
        <w:rPr>
          <w:rFonts w:hint="eastAsia"/>
          <w:highlight w:val="none"/>
        </w:rPr>
        <w:t>产品生产工艺流程图；</w:t>
      </w:r>
    </w:p>
    <w:p>
      <w:pPr>
        <w:pStyle w:val="178"/>
        <w:rPr>
          <w:highlight w:val="none"/>
        </w:rPr>
      </w:pPr>
      <w:r>
        <w:rPr>
          <w:rFonts w:hint="eastAsia"/>
          <w:highlight w:val="none"/>
        </w:rPr>
        <w:t>产品满足相关质量标准的证明文件；</w:t>
      </w:r>
    </w:p>
    <w:p>
      <w:pPr>
        <w:pStyle w:val="178"/>
        <w:rPr>
          <w:highlight w:val="none"/>
        </w:rPr>
      </w:pPr>
      <w:r>
        <w:rPr>
          <w:rFonts w:hint="eastAsia"/>
          <w:highlight w:val="none"/>
        </w:rPr>
        <w:t>产品所获取的其他标志等。</w:t>
      </w:r>
    </w:p>
    <w:p>
      <w:pPr>
        <w:pStyle w:val="108"/>
        <w:spacing w:before="120" w:after="120"/>
        <w:rPr>
          <w:highlight w:val="none"/>
        </w:rPr>
      </w:pPr>
      <w:bookmarkStart w:id="57" w:name="_Toc25404"/>
      <w:r>
        <w:rPr>
          <w:rFonts w:hint="eastAsia"/>
          <w:highlight w:val="none"/>
        </w:rPr>
        <w:t>评价范围</w:t>
      </w:r>
      <w:bookmarkEnd w:id="57"/>
    </w:p>
    <w:p>
      <w:pPr>
        <w:pStyle w:val="68"/>
        <w:spacing w:before="120" w:after="120"/>
        <w:rPr>
          <w:highlight w:val="none"/>
        </w:rPr>
      </w:pPr>
      <w:r>
        <w:rPr>
          <w:rFonts w:hint="eastAsia"/>
          <w:highlight w:val="none"/>
        </w:rPr>
        <w:t>功能单位</w:t>
      </w:r>
    </w:p>
    <w:p>
      <w:pPr>
        <w:pStyle w:val="59"/>
        <w:ind w:firstLine="420"/>
        <w:rPr>
          <w:highlight w:val="none"/>
        </w:rPr>
      </w:pPr>
      <w:r>
        <w:rPr>
          <w:rFonts w:hint="eastAsia"/>
          <w:highlight w:val="none"/>
        </w:rPr>
        <w:t>生产1</w:t>
      </w:r>
      <w:r>
        <w:rPr>
          <w:rFonts w:ascii="Times New Roman"/>
          <w:highlight w:val="none"/>
        </w:rPr>
        <w:t xml:space="preserve"> </w:t>
      </w:r>
      <w:r>
        <w:rPr>
          <w:rFonts w:hint="eastAsia"/>
          <w:highlight w:val="none"/>
        </w:rPr>
        <w:t>千瓦光伏组件产品。</w:t>
      </w:r>
    </w:p>
    <w:p>
      <w:pPr>
        <w:pStyle w:val="68"/>
        <w:spacing w:before="120" w:after="120"/>
        <w:rPr>
          <w:highlight w:val="none"/>
        </w:rPr>
      </w:pPr>
      <w:r>
        <w:rPr>
          <w:rFonts w:hint="eastAsia"/>
          <w:highlight w:val="none"/>
        </w:rPr>
        <w:t>系统边界</w:t>
      </w:r>
    </w:p>
    <w:p>
      <w:pPr>
        <w:pStyle w:val="59"/>
        <w:ind w:firstLine="420"/>
        <w:rPr>
          <w:rStyle w:val="195"/>
          <w:rFonts w:ascii="Times New Roman"/>
          <w:highlight w:val="none"/>
        </w:rPr>
      </w:pPr>
      <w:r>
        <w:rPr>
          <w:rStyle w:val="195"/>
          <w:rFonts w:hint="eastAsia" w:ascii="Times New Roman"/>
          <w:highlight w:val="none"/>
        </w:rPr>
        <w:t>光伏组件产品系统边界如图1所示。应包括以下单元过程：</w:t>
      </w:r>
    </w:p>
    <w:p>
      <w:pPr>
        <w:pStyle w:val="178"/>
        <w:numPr>
          <w:ilvl w:val="0"/>
          <w:numId w:val="32"/>
        </w:numPr>
        <w:rPr>
          <w:highlight w:val="none"/>
        </w:rPr>
      </w:pPr>
      <w:r>
        <w:rPr>
          <w:rFonts w:hint="eastAsia"/>
          <w:highlight w:val="none"/>
        </w:rPr>
        <w:t>原材料生产:电池片、封装玻璃、EVA胶膜等原材料生产过程；</w:t>
      </w:r>
    </w:p>
    <w:p>
      <w:pPr>
        <w:pStyle w:val="178"/>
        <w:numPr>
          <w:ilvl w:val="0"/>
          <w:numId w:val="32"/>
        </w:numPr>
        <w:rPr>
          <w:highlight w:val="none"/>
        </w:rPr>
      </w:pPr>
      <w:r>
        <w:rPr>
          <w:rFonts w:hint="eastAsia"/>
          <w:highlight w:val="none"/>
        </w:rPr>
        <w:t>能源生产；</w:t>
      </w:r>
    </w:p>
    <w:p>
      <w:pPr>
        <w:pStyle w:val="178"/>
        <w:numPr>
          <w:ilvl w:val="0"/>
          <w:numId w:val="32"/>
        </w:numPr>
        <w:rPr>
          <w:highlight w:val="none"/>
        </w:rPr>
      </w:pPr>
      <w:r>
        <w:rPr>
          <w:rFonts w:hint="eastAsia"/>
          <w:highlight w:val="none"/>
        </w:rPr>
        <w:t>原材料及能源的运输；</w:t>
      </w:r>
    </w:p>
    <w:p>
      <w:pPr>
        <w:pStyle w:val="178"/>
        <w:numPr>
          <w:ilvl w:val="0"/>
          <w:numId w:val="32"/>
        </w:numPr>
        <w:rPr>
          <w:highlight w:val="none"/>
        </w:rPr>
      </w:pPr>
      <w:r>
        <w:rPr>
          <w:rFonts w:hint="eastAsia"/>
          <w:highlight w:val="none"/>
        </w:rPr>
        <w:t>光伏组件的生产：光伏组件产品生产所涵盖的全部工序。</w:t>
      </w:r>
    </w:p>
    <w:p>
      <w:pPr>
        <w:pStyle w:val="59"/>
        <w:ind w:firstLine="420"/>
        <w:rPr>
          <w:rStyle w:val="195"/>
          <w:rFonts w:ascii="Times New Roman"/>
          <w:highlight w:val="none"/>
        </w:rPr>
      </w:pPr>
      <w:r>
        <w:rPr>
          <w:rStyle w:val="195"/>
          <w:rFonts w:hint="eastAsia" w:ascii="Times New Roman"/>
          <w:highlight w:val="none"/>
        </w:rPr>
        <w:t>宜包括以下单元过程：</w:t>
      </w:r>
    </w:p>
    <w:p>
      <w:pPr>
        <w:pStyle w:val="178"/>
        <w:numPr>
          <w:ilvl w:val="0"/>
          <w:numId w:val="33"/>
        </w:numPr>
        <w:rPr>
          <w:highlight w:val="none"/>
        </w:rPr>
      </w:pPr>
      <w:r>
        <w:rPr>
          <w:rFonts w:hint="eastAsia"/>
          <w:highlight w:val="none"/>
        </w:rPr>
        <w:t>光伏组件的使用：产品出厂后的运输、安装、运维等过程；</w:t>
      </w:r>
    </w:p>
    <w:p>
      <w:pPr>
        <w:pStyle w:val="178"/>
        <w:numPr>
          <w:ilvl w:val="0"/>
          <w:numId w:val="33"/>
        </w:numPr>
        <w:rPr>
          <w:highlight w:val="none"/>
        </w:rPr>
      </w:pPr>
      <w:r>
        <w:rPr>
          <w:rFonts w:hint="eastAsia"/>
          <w:highlight w:val="none"/>
        </w:rPr>
        <w:t>光伏组件的废弃：光伏组件的报废、回收、循环利用与最终处置等过程。</w:t>
      </w:r>
    </w:p>
    <w:p>
      <w:pPr>
        <w:pStyle w:val="178"/>
        <w:numPr>
          <w:ilvl w:val="0"/>
          <w:numId w:val="0"/>
        </w:numPr>
        <w:rPr>
          <w:highlight w:val="none"/>
        </w:rPr>
      </w:pPr>
      <w:r>
        <w:rPr>
          <w:highlight w:val="none"/>
        </w:rPr>
        <w:drawing>
          <wp:inline distT="0" distB="0" distL="114300" distR="114300">
            <wp:extent cx="5933440" cy="2494280"/>
            <wp:effectExtent l="0" t="0" r="10160" b="127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24"/>
                    <a:stretch>
                      <a:fillRect/>
                    </a:stretch>
                  </pic:blipFill>
                  <pic:spPr>
                    <a:xfrm>
                      <a:off x="0" y="0"/>
                      <a:ext cx="5933440" cy="2494280"/>
                    </a:xfrm>
                    <a:prstGeom prst="rect">
                      <a:avLst/>
                    </a:prstGeom>
                  </pic:spPr>
                </pic:pic>
              </a:graphicData>
            </a:graphic>
          </wp:inline>
        </w:drawing>
      </w:r>
    </w:p>
    <w:p>
      <w:pPr>
        <w:pStyle w:val="117"/>
        <w:spacing w:before="120" w:after="120"/>
        <w:rPr>
          <w:rFonts w:eastAsia="宋体"/>
          <w:highlight w:val="none"/>
        </w:rPr>
      </w:pPr>
      <w:r>
        <w:rPr>
          <w:rFonts w:hint="eastAsia"/>
          <w:highlight w:val="none"/>
        </w:rPr>
        <w:t>光伏组件产品系统边界图</w:t>
      </w:r>
    </w:p>
    <w:p>
      <w:pPr>
        <w:pStyle w:val="108"/>
        <w:spacing w:before="120" w:after="120"/>
        <w:rPr>
          <w:rFonts w:hAnsi="黑体" w:cs="黑体"/>
          <w:szCs w:val="21"/>
          <w:highlight w:val="none"/>
        </w:rPr>
      </w:pPr>
      <w:bookmarkStart w:id="58" w:name="_Toc14146"/>
      <w:r>
        <w:rPr>
          <w:rFonts w:hint="eastAsia" w:hAnsi="黑体" w:cs="黑体"/>
          <w:szCs w:val="21"/>
          <w:highlight w:val="none"/>
        </w:rPr>
        <w:t>数据收集</w:t>
      </w:r>
      <w:bookmarkEnd w:id="58"/>
    </w:p>
    <w:p>
      <w:pPr>
        <w:pStyle w:val="68"/>
        <w:spacing w:before="120" w:after="120"/>
        <w:rPr>
          <w:highlight w:val="none"/>
        </w:rPr>
      </w:pPr>
      <w:r>
        <w:rPr>
          <w:rFonts w:hint="eastAsia"/>
          <w:highlight w:val="none"/>
        </w:rPr>
        <w:t>数据类型</w:t>
      </w:r>
    </w:p>
    <w:p>
      <w:pPr>
        <w:spacing w:line="240" w:lineRule="auto"/>
        <w:ind w:firstLine="420" w:firstLineChars="200"/>
        <w:rPr>
          <w:rFonts w:ascii="宋体" w:hAnsi="宋体" w:cs="宋体"/>
          <w:highlight w:val="none"/>
        </w:rPr>
      </w:pPr>
      <w:r>
        <w:rPr>
          <w:rFonts w:hint="eastAsia" w:ascii="宋体" w:hAnsi="宋体" w:cs="宋体"/>
          <w:highlight w:val="none"/>
        </w:rPr>
        <w:t>数据类型包括现场数据和背景数据。</w:t>
      </w:r>
    </w:p>
    <w:p>
      <w:pPr>
        <w:pStyle w:val="68"/>
        <w:spacing w:before="120" w:after="120"/>
        <w:rPr>
          <w:rFonts w:ascii="宋体" w:hAnsi="宋体" w:cs="宋体"/>
          <w:szCs w:val="21"/>
          <w:highlight w:val="none"/>
        </w:rPr>
      </w:pPr>
      <w:r>
        <w:rPr>
          <w:rFonts w:hint="eastAsia" w:ascii="宋体" w:hAnsi="宋体" w:cs="宋体"/>
          <w:szCs w:val="21"/>
          <w:highlight w:val="none"/>
        </w:rPr>
        <w:t>现场数据</w:t>
      </w:r>
    </w:p>
    <w:p>
      <w:pPr>
        <w:pStyle w:val="59"/>
        <w:ind w:firstLine="420"/>
        <w:rPr>
          <w:highlight w:val="none"/>
        </w:rPr>
      </w:pPr>
      <w:r>
        <w:rPr>
          <w:rFonts w:hint="eastAsia"/>
          <w:highlight w:val="none"/>
        </w:rPr>
        <w:t>现场数据包括生产1</w:t>
      </w:r>
      <w:r>
        <w:rPr>
          <w:rFonts w:ascii="Times New Roman"/>
          <w:highlight w:val="none"/>
        </w:rPr>
        <w:t xml:space="preserve"> </w:t>
      </w:r>
      <w:r>
        <w:rPr>
          <w:rFonts w:hint="eastAsia"/>
          <w:highlight w:val="none"/>
          <w:lang w:eastAsia="zh-CN"/>
        </w:rPr>
        <w:t>千瓦</w:t>
      </w:r>
      <w:r>
        <w:rPr>
          <w:rFonts w:hint="eastAsia"/>
          <w:highlight w:val="none"/>
        </w:rPr>
        <w:t>光伏组件所消耗的原材料和能源等，应对数据的获得方式及来源予以说明，按照附录A中表A.1采集。应收集的数据信息种类如表1所示。</w:t>
      </w:r>
    </w:p>
    <w:p>
      <w:pPr>
        <w:pStyle w:val="115"/>
        <w:spacing w:before="120" w:after="120"/>
        <w:rPr>
          <w:highlight w:val="none"/>
        </w:rPr>
      </w:pPr>
      <w:r>
        <w:rPr>
          <w:rFonts w:hint="eastAsia"/>
          <w:highlight w:val="none"/>
        </w:rPr>
        <w:t>数据收集信息种类</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8"/>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46" w:type="pct"/>
            <w:tcBorders>
              <w:top w:val="single" w:color="auto" w:sz="8" w:space="0"/>
              <w:left w:val="single" w:color="auto" w:sz="8" w:space="0"/>
              <w:bottom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类别</w:t>
            </w:r>
          </w:p>
        </w:tc>
        <w:tc>
          <w:tcPr>
            <w:tcW w:w="3553" w:type="pct"/>
            <w:tcBorders>
              <w:top w:val="single" w:color="auto" w:sz="8" w:space="0"/>
              <w:bottom w:val="single" w:color="auto" w:sz="8" w:space="0"/>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收集信息种类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46" w:type="pct"/>
            <w:tcBorders>
              <w:top w:val="single" w:color="auto" w:sz="8" w:space="0"/>
              <w:lef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企业信息</w:t>
            </w:r>
          </w:p>
        </w:tc>
        <w:tc>
          <w:tcPr>
            <w:tcW w:w="3553" w:type="pct"/>
            <w:tcBorders>
              <w:top w:val="single" w:color="auto" w:sz="8" w:space="0"/>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企业名称、地址、数据统计周期、生产规模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46" w:type="pct"/>
            <w:tcBorders>
              <w:lef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资源消耗</w:t>
            </w:r>
          </w:p>
        </w:tc>
        <w:tc>
          <w:tcPr>
            <w:tcW w:w="3553" w:type="pct"/>
            <w:tcBorders>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原材料</w:t>
            </w:r>
            <w:r>
              <w:rPr>
                <w:rFonts w:hint="eastAsia" w:ascii="宋体" w:hAnsi="宋体" w:cs="宋体"/>
                <w:sz w:val="18"/>
                <w:szCs w:val="18"/>
                <w:highlight w:val="none"/>
                <w:lang w:eastAsia="zh-CN"/>
              </w:rPr>
              <w:t>、辅材</w:t>
            </w:r>
            <w:r>
              <w:rPr>
                <w:rFonts w:hint="eastAsia" w:ascii="宋体" w:hAnsi="宋体" w:cs="宋体"/>
                <w:sz w:val="18"/>
                <w:szCs w:val="18"/>
                <w:highlight w:val="none"/>
              </w:rPr>
              <w:t>、包装</w:t>
            </w:r>
            <w:r>
              <w:rPr>
                <w:rFonts w:hint="eastAsia" w:ascii="宋体" w:hAnsi="宋体" w:cs="宋体"/>
                <w:sz w:val="18"/>
                <w:szCs w:val="18"/>
                <w:highlight w:val="none"/>
                <w:lang w:eastAsia="zh-CN"/>
              </w:rPr>
              <w:t>材料</w:t>
            </w:r>
            <w:r>
              <w:rPr>
                <w:rFonts w:hint="eastAsia" w:ascii="宋体" w:hAnsi="宋体" w:cs="宋体"/>
                <w:sz w:val="18"/>
                <w:szCs w:val="18"/>
                <w:highlight w:val="none"/>
              </w:rPr>
              <w:t>的消耗量、水耗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46" w:type="pct"/>
            <w:tcBorders>
              <w:left w:val="single" w:color="auto" w:sz="8" w:space="0"/>
            </w:tcBorders>
            <w:vAlign w:val="center"/>
          </w:tcPr>
          <w:p>
            <w:pPr>
              <w:spacing w:line="240" w:lineRule="auto"/>
              <w:jc w:val="center"/>
              <w:rPr>
                <w:rFonts w:hint="eastAsia" w:ascii="宋体" w:hAnsi="宋体" w:eastAsia="宋体" w:cs="宋体"/>
                <w:sz w:val="18"/>
                <w:szCs w:val="18"/>
                <w:highlight w:val="none"/>
                <w:lang w:val="en-US" w:eastAsia="zh-CN"/>
              </w:rPr>
            </w:pPr>
            <w:r>
              <w:rPr>
                <w:rFonts w:hint="eastAsia" w:ascii="宋体" w:hAnsi="宋体" w:cs="宋体"/>
                <w:sz w:val="18"/>
                <w:szCs w:val="18"/>
                <w:highlight w:val="none"/>
              </w:rPr>
              <w:t>能源消耗</w:t>
            </w:r>
          </w:p>
        </w:tc>
        <w:tc>
          <w:tcPr>
            <w:tcW w:w="3553" w:type="pct"/>
            <w:tcBorders>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生产过程、厂内运输过程涉及的能源消耗量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6" w:type="pct"/>
            <w:tcBorders>
              <w:left w:val="single" w:color="auto" w:sz="8" w:space="0"/>
              <w:bottom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生产过程的GHG直接排放</w:t>
            </w:r>
          </w:p>
        </w:tc>
        <w:tc>
          <w:tcPr>
            <w:tcW w:w="3553" w:type="pct"/>
            <w:tcBorders>
              <w:bottom w:val="single" w:color="auto" w:sz="8" w:space="0"/>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组件生产过程的温室气体排放</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eastAsia="宋体"/>
          <w:lang w:eastAsia="zh-CN"/>
        </w:rPr>
      </w:pPr>
      <w:r>
        <w:rPr>
          <w:rFonts w:hint="eastAsia" w:ascii="黑体" w:hAnsi="黑体" w:eastAsia="黑体" w:cs="黑体"/>
          <w:highlight w:val="none"/>
          <w:lang w:eastAsia="zh-CN"/>
        </w:rPr>
        <w:t>表</w:t>
      </w:r>
      <w:r>
        <w:rPr>
          <w:rFonts w:hint="eastAsia" w:ascii="黑体" w:hAnsi="黑体" w:eastAsia="黑体" w:cs="黑体"/>
          <w:highlight w:val="none"/>
          <w:lang w:val="en-US" w:eastAsia="zh-CN"/>
        </w:rPr>
        <w:t xml:space="preserve">1  </w:t>
      </w:r>
      <w:r>
        <w:rPr>
          <w:rFonts w:hint="eastAsia" w:ascii="黑体" w:hAnsi="黑体" w:eastAsia="黑体" w:cs="黑体"/>
          <w:highlight w:val="none"/>
        </w:rPr>
        <w:t>数据收集信息种类</w:t>
      </w:r>
      <w:r>
        <w:rPr>
          <w:rFonts w:hint="eastAsia"/>
          <w:highlight w:val="none"/>
          <w:lang w:eastAsia="zh-CN"/>
        </w:rPr>
        <w:t>（续）</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6" w:type="pct"/>
            <w:tcBorders>
              <w:top w:val="single" w:color="auto" w:sz="8" w:space="0"/>
              <w:left w:val="single" w:color="auto" w:sz="8" w:space="0"/>
              <w:bottom w:val="single" w:color="auto" w:sz="8" w:space="0"/>
            </w:tcBorders>
            <w:vAlign w:val="center"/>
          </w:tcPr>
          <w:p>
            <w:pPr>
              <w:spacing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类别</w:t>
            </w:r>
          </w:p>
        </w:tc>
        <w:tc>
          <w:tcPr>
            <w:tcW w:w="3553" w:type="pct"/>
            <w:tcBorders>
              <w:top w:val="single" w:color="auto" w:sz="8" w:space="0"/>
              <w:bottom w:val="single" w:color="auto" w:sz="8" w:space="0"/>
              <w:right w:val="single" w:color="auto" w:sz="8" w:space="0"/>
            </w:tcBorders>
            <w:vAlign w:val="center"/>
          </w:tcPr>
          <w:p>
            <w:pPr>
              <w:spacing w:line="240" w:lineRule="auto"/>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rPr>
              <w:t>收集信息种类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6" w:type="pct"/>
            <w:tcBorders>
              <w:top w:val="single" w:color="auto" w:sz="8" w:space="0"/>
              <w:lef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废弃物</w:t>
            </w:r>
            <w:r>
              <w:rPr>
                <w:rFonts w:hint="eastAsia" w:ascii="宋体" w:hAnsi="宋体" w:cs="宋体"/>
                <w:sz w:val="18"/>
                <w:szCs w:val="18"/>
                <w:highlight w:val="none"/>
                <w:lang w:eastAsia="zh-CN"/>
              </w:rPr>
              <w:t>产生</w:t>
            </w:r>
          </w:p>
        </w:tc>
        <w:tc>
          <w:tcPr>
            <w:tcW w:w="3553" w:type="pct"/>
            <w:tcBorders>
              <w:top w:val="single" w:color="auto" w:sz="8" w:space="0"/>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lang w:eastAsia="zh-CN"/>
              </w:rPr>
              <w:t>固体废弃物</w:t>
            </w:r>
            <w:r>
              <w:rPr>
                <w:rFonts w:hint="eastAsia" w:ascii="宋体" w:hAnsi="宋体" w:cs="宋体"/>
                <w:sz w:val="18"/>
                <w:szCs w:val="18"/>
                <w:highlight w:val="none"/>
              </w:rPr>
              <w:t>及对应处理方式</w:t>
            </w:r>
            <w:r>
              <w:rPr>
                <w:rFonts w:hint="eastAsia" w:ascii="宋体" w:hAnsi="宋体" w:cs="宋体"/>
                <w:sz w:val="18"/>
                <w:szCs w:val="18"/>
                <w:highlight w:val="none"/>
                <w:lang w:eastAsia="zh-CN"/>
              </w:rPr>
              <w:t>（焚烧、填埋等）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46" w:type="pct"/>
            <w:tcBorders>
              <w:left w:val="single" w:color="auto" w:sz="8" w:space="0"/>
              <w:bottom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运输</w:t>
            </w:r>
          </w:p>
        </w:tc>
        <w:tc>
          <w:tcPr>
            <w:tcW w:w="3553" w:type="pct"/>
            <w:tcBorders>
              <w:bottom w:val="single" w:color="auto" w:sz="8" w:space="0"/>
              <w:right w:val="single" w:color="auto" w:sz="8" w:space="0"/>
            </w:tcBorders>
            <w:vAlign w:val="center"/>
          </w:tcPr>
          <w:p>
            <w:pPr>
              <w:spacing w:line="240" w:lineRule="auto"/>
              <w:jc w:val="center"/>
              <w:rPr>
                <w:rFonts w:ascii="宋体" w:hAnsi="宋体" w:cs="宋体"/>
                <w:sz w:val="18"/>
                <w:szCs w:val="18"/>
                <w:highlight w:val="none"/>
              </w:rPr>
            </w:pPr>
            <w:r>
              <w:rPr>
                <w:rFonts w:hint="eastAsia" w:ascii="宋体" w:hAnsi="宋体" w:cs="宋体"/>
                <w:sz w:val="18"/>
                <w:szCs w:val="18"/>
                <w:highlight w:val="none"/>
              </w:rPr>
              <w:t>原料、能源及废弃物的运输距离及运输方式；</w:t>
            </w:r>
          </w:p>
        </w:tc>
      </w:tr>
    </w:tbl>
    <w:p>
      <w:pPr>
        <w:pStyle w:val="59"/>
        <w:ind w:firstLine="420"/>
        <w:rPr>
          <w:highlight w:val="none"/>
        </w:rPr>
      </w:pPr>
    </w:p>
    <w:p>
      <w:pPr>
        <w:pStyle w:val="68"/>
        <w:spacing w:before="120" w:after="120"/>
        <w:rPr>
          <w:highlight w:val="none"/>
        </w:rPr>
      </w:pPr>
      <w:r>
        <w:rPr>
          <w:rFonts w:hint="eastAsia"/>
          <w:highlight w:val="none"/>
        </w:rPr>
        <w:t>背景数据</w:t>
      </w:r>
    </w:p>
    <w:p>
      <w:pPr>
        <w:spacing w:line="240" w:lineRule="auto"/>
        <w:ind w:firstLine="420" w:firstLineChars="200"/>
        <w:rPr>
          <w:rFonts w:ascii="宋体" w:hAnsi="宋体" w:cs="宋体"/>
          <w:highlight w:val="none"/>
        </w:rPr>
      </w:pPr>
      <w:r>
        <w:rPr>
          <w:rFonts w:hint="eastAsia" w:ascii="宋体" w:hAnsi="宋体" w:cs="宋体"/>
          <w:highlight w:val="none"/>
        </w:rPr>
        <w:t>背景数据包括通过引用公用数据、参考数据和其他文献研究等数据以供组织计算产品碳排放量而收集的数据和其他背景数据，如排放因子数据等，对数据的获得方式和来源均应予以说明，按照附录B中表B.1</w:t>
      </w:r>
      <w:r>
        <w:rPr>
          <w:rFonts w:hint="eastAsia"/>
          <w:highlight w:val="none"/>
        </w:rPr>
        <w:t>采集。</w:t>
      </w:r>
    </w:p>
    <w:p>
      <w:pPr>
        <w:pStyle w:val="68"/>
        <w:spacing w:before="120" w:after="120"/>
        <w:rPr>
          <w:highlight w:val="none"/>
        </w:rPr>
      </w:pPr>
      <w:r>
        <w:rPr>
          <w:rFonts w:hint="eastAsia"/>
          <w:highlight w:val="none"/>
        </w:rPr>
        <w:t>数据取舍原则</w:t>
      </w:r>
    </w:p>
    <w:p>
      <w:pPr>
        <w:pStyle w:val="59"/>
        <w:ind w:firstLine="420"/>
        <w:rPr>
          <w:rFonts w:hAnsi="宋体" w:cs="宋体"/>
          <w:kern w:val="2"/>
          <w:szCs w:val="21"/>
          <w:highlight w:val="none"/>
        </w:rPr>
      </w:pPr>
      <w:r>
        <w:rPr>
          <w:rFonts w:hint="eastAsia" w:hAnsi="宋体" w:cs="宋体"/>
          <w:kern w:val="2"/>
          <w:szCs w:val="21"/>
          <w:highlight w:val="none"/>
        </w:rPr>
        <w:t>所涉及的物质(能量)数据的取舍应遵循如下准则：</w:t>
      </w:r>
    </w:p>
    <w:p>
      <w:pPr>
        <w:pStyle w:val="178"/>
        <w:numPr>
          <w:ilvl w:val="0"/>
          <w:numId w:val="34"/>
        </w:numPr>
        <w:rPr>
          <w:highlight w:val="none"/>
        </w:rPr>
      </w:pPr>
      <w:r>
        <w:rPr>
          <w:rFonts w:hint="eastAsia"/>
          <w:highlight w:val="none"/>
        </w:rPr>
        <w:t>所有的能源输入均需列出,包括使用的含能废弃物；</w:t>
      </w:r>
    </w:p>
    <w:p>
      <w:pPr>
        <w:pStyle w:val="178"/>
        <w:numPr>
          <w:ilvl w:val="0"/>
          <w:numId w:val="34"/>
        </w:numPr>
        <w:rPr>
          <w:highlight w:val="none"/>
        </w:rPr>
      </w:pPr>
      <w:r>
        <w:rPr>
          <w:rFonts w:hint="eastAsia"/>
          <w:highlight w:val="none"/>
        </w:rPr>
        <w:t>应列出主要的原材料及利废原料输入,若符合4.3.4中c)和d)要求则可忽略；</w:t>
      </w:r>
    </w:p>
    <w:p>
      <w:pPr>
        <w:pStyle w:val="178"/>
        <w:numPr>
          <w:ilvl w:val="0"/>
          <w:numId w:val="34"/>
        </w:numPr>
        <w:rPr>
          <w:highlight w:val="none"/>
        </w:rPr>
      </w:pPr>
      <w:r>
        <w:rPr>
          <w:rFonts w:hint="eastAsia"/>
          <w:highlight w:val="none"/>
        </w:rPr>
        <w:t>忽略的单项物质(能量)流或单元过程对产品碳足迹的贡献均不得超过</w:t>
      </w:r>
      <w:r>
        <w:rPr>
          <w:highlight w:val="none"/>
        </w:rPr>
        <w:t>1%</w:t>
      </w:r>
      <w:r>
        <w:rPr>
          <w:rFonts w:hint="eastAsia"/>
          <w:highlight w:val="none"/>
        </w:rPr>
        <w:t>；</w:t>
      </w:r>
    </w:p>
    <w:p>
      <w:pPr>
        <w:pStyle w:val="178"/>
        <w:numPr>
          <w:ilvl w:val="0"/>
          <w:numId w:val="34"/>
        </w:numPr>
        <w:rPr>
          <w:highlight w:val="none"/>
        </w:rPr>
      </w:pPr>
      <w:r>
        <w:rPr>
          <w:rFonts w:hint="eastAsia"/>
          <w:highlight w:val="none"/>
        </w:rPr>
        <w:t>所有忽略的物质(能量)流与单元过程对产品碳足迹贡献总和不超过</w:t>
      </w:r>
      <w:r>
        <w:rPr>
          <w:highlight w:val="none"/>
        </w:rPr>
        <w:t>5%</w:t>
      </w:r>
      <w:r>
        <w:rPr>
          <w:rFonts w:hint="eastAsia"/>
          <w:highlight w:val="none"/>
        </w:rPr>
        <w:t>,且应在碳足迹报告中予以说明；</w:t>
      </w:r>
    </w:p>
    <w:p>
      <w:pPr>
        <w:pStyle w:val="178"/>
        <w:numPr>
          <w:ilvl w:val="0"/>
          <w:numId w:val="34"/>
        </w:numPr>
        <w:rPr>
          <w:highlight w:val="none"/>
        </w:rPr>
      </w:pPr>
      <w:r>
        <w:rPr>
          <w:rFonts w:hint="eastAsia"/>
          <w:highlight w:val="none"/>
        </w:rPr>
        <w:t>本文件涉及的温室气体应包含二氧化碳(CO</w:t>
      </w:r>
      <w:r>
        <w:rPr>
          <w:rFonts w:hint="eastAsia"/>
          <w:highlight w:val="none"/>
          <w:vertAlign w:val="subscript"/>
        </w:rPr>
        <w:t>2</w:t>
      </w:r>
      <w:r>
        <w:rPr>
          <w:rFonts w:hint="eastAsia"/>
          <w:highlight w:val="none"/>
        </w:rPr>
        <w:t>)、甲烷(CH</w:t>
      </w:r>
      <w:r>
        <w:rPr>
          <w:rFonts w:hint="eastAsia"/>
          <w:highlight w:val="none"/>
          <w:vertAlign w:val="subscript"/>
        </w:rPr>
        <w:t>4</w:t>
      </w:r>
      <w:r>
        <w:rPr>
          <w:rFonts w:hint="eastAsia"/>
          <w:highlight w:val="none"/>
        </w:rPr>
        <w:t>)、氧化亚氮(N</w:t>
      </w:r>
      <w:r>
        <w:rPr>
          <w:rFonts w:hint="eastAsia"/>
          <w:highlight w:val="none"/>
          <w:vertAlign w:val="subscript"/>
        </w:rPr>
        <w:t>2</w:t>
      </w:r>
      <w:r>
        <w:rPr>
          <w:rFonts w:hint="eastAsia"/>
          <w:highlight w:val="none"/>
        </w:rPr>
        <w:t>O),宜包含氢氟碳化物(HFCs)、全氟碳化物(PFCs)、六氟化硫(SF</w:t>
      </w:r>
      <w:r>
        <w:rPr>
          <w:rFonts w:hint="eastAsia"/>
          <w:highlight w:val="none"/>
          <w:vertAlign w:val="subscript"/>
        </w:rPr>
        <w:t>6</w:t>
      </w:r>
      <w:r>
        <w:rPr>
          <w:rFonts w:hint="eastAsia"/>
          <w:highlight w:val="none"/>
        </w:rPr>
        <w:t>)与三氟化氮(NF</w:t>
      </w:r>
      <w:r>
        <w:rPr>
          <w:rFonts w:hint="eastAsia"/>
          <w:highlight w:val="none"/>
          <w:vertAlign w:val="subscript"/>
        </w:rPr>
        <w:t>3</w:t>
      </w:r>
      <w:r>
        <w:rPr>
          <w:rFonts w:hint="eastAsia"/>
          <w:highlight w:val="none"/>
        </w:rPr>
        <w:t>)。</w:t>
      </w:r>
    </w:p>
    <w:p>
      <w:pPr>
        <w:pStyle w:val="178"/>
        <w:numPr>
          <w:ilvl w:val="0"/>
          <w:numId w:val="34"/>
        </w:numPr>
        <w:rPr>
          <w:highlight w:val="none"/>
        </w:rPr>
      </w:pPr>
      <w:r>
        <w:rPr>
          <w:rFonts w:hint="eastAsia"/>
          <w:highlight w:val="none"/>
        </w:rPr>
        <w:t>道路与厂房的基础设施、各</w:t>
      </w:r>
      <w:r>
        <w:rPr>
          <w:rFonts w:hint="eastAsia"/>
          <w:color w:val="auto"/>
          <w:highlight w:val="none"/>
        </w:rPr>
        <w:t>工序设备</w:t>
      </w:r>
      <w:r>
        <w:rPr>
          <w:rFonts w:hint="eastAsia"/>
          <w:color w:val="auto"/>
          <w:highlight w:val="none"/>
          <w:lang w:eastAsia="zh-CN"/>
        </w:rPr>
        <w:t>的制造与装配</w:t>
      </w:r>
      <w:r>
        <w:rPr>
          <w:rFonts w:hint="eastAsia"/>
          <w:color w:val="auto"/>
          <w:highlight w:val="none"/>
        </w:rPr>
        <w:t>、厂区内</w:t>
      </w:r>
      <w:r>
        <w:rPr>
          <w:rFonts w:hint="eastAsia"/>
          <w:highlight w:val="none"/>
        </w:rPr>
        <w:t>人员及生活设施的消耗和排放,均忽略。</w:t>
      </w:r>
    </w:p>
    <w:p>
      <w:pPr>
        <w:pStyle w:val="68"/>
        <w:spacing w:before="120" w:after="120"/>
        <w:rPr>
          <w:highlight w:val="none"/>
        </w:rPr>
      </w:pPr>
      <w:r>
        <w:rPr>
          <w:rFonts w:hint="eastAsia"/>
          <w:highlight w:val="none"/>
        </w:rPr>
        <w:t>数据质量要求</w:t>
      </w:r>
    </w:p>
    <w:p>
      <w:pPr>
        <w:pStyle w:val="168"/>
        <w:rPr>
          <w:rFonts w:hAnsi="宋体" w:cs="宋体"/>
          <w:szCs w:val="21"/>
          <w:highlight w:val="none"/>
        </w:rPr>
      </w:pPr>
      <w:r>
        <w:rPr>
          <w:rFonts w:hint="eastAsia" w:hAnsi="宋体" w:cs="宋体"/>
          <w:szCs w:val="21"/>
          <w:highlight w:val="none"/>
        </w:rPr>
        <w:t>现场数据的质量要求包括：</w:t>
      </w:r>
    </w:p>
    <w:p>
      <w:pPr>
        <w:pStyle w:val="178"/>
        <w:numPr>
          <w:ilvl w:val="0"/>
          <w:numId w:val="35"/>
        </w:numPr>
        <w:rPr>
          <w:highlight w:val="none"/>
        </w:rPr>
      </w:pPr>
      <w:r>
        <w:rPr>
          <w:rFonts w:hint="eastAsia"/>
          <w:highlight w:val="none"/>
        </w:rPr>
        <w:t>完整性。现场数据宜采集企业一个财务年内的生产统计数据,详见附录表A.1.根据输入输出的选择准则的要求,检查是否有缺失的过程、消耗和排放；</w:t>
      </w:r>
    </w:p>
    <w:p>
      <w:pPr>
        <w:pStyle w:val="178"/>
        <w:numPr>
          <w:ilvl w:val="0"/>
          <w:numId w:val="35"/>
        </w:numPr>
        <w:rPr>
          <w:highlight w:val="none"/>
        </w:rPr>
      </w:pPr>
      <w:r>
        <w:rPr>
          <w:rFonts w:hint="eastAsia"/>
          <w:highlight w:val="none"/>
        </w:rPr>
        <w:t>准确性。现场数据中的能源、原材料消耗、废弃物产</w:t>
      </w:r>
      <w:r>
        <w:rPr>
          <w:rFonts w:hint="eastAsia"/>
          <w:highlight w:val="none"/>
          <w:lang w:eastAsia="zh-CN"/>
        </w:rPr>
        <w:t>生</w:t>
      </w:r>
      <w:r>
        <w:rPr>
          <w:rFonts w:hint="eastAsia"/>
          <w:highlight w:val="none"/>
        </w:rPr>
        <w:t>及处理等数据应来自企业的实际生产统计记录</w:t>
      </w:r>
      <w:r>
        <w:rPr>
          <w:rFonts w:hint="eastAsia"/>
          <w:highlight w:val="none"/>
          <w:lang w:eastAsia="zh-CN"/>
        </w:rPr>
        <w:t>，</w:t>
      </w:r>
      <w:r>
        <w:rPr>
          <w:rFonts w:hint="eastAsia"/>
          <w:highlight w:val="none"/>
        </w:rPr>
        <w:t>能耗相关数据需提供抄表记录及外购凭证等资料</w:t>
      </w:r>
      <w:r>
        <w:rPr>
          <w:rFonts w:hint="eastAsia"/>
          <w:highlight w:val="none"/>
          <w:lang w:eastAsia="zh-CN"/>
        </w:rPr>
        <w:t>。</w:t>
      </w:r>
      <w:r>
        <w:rPr>
          <w:rFonts w:hint="eastAsia"/>
          <w:highlight w:val="none"/>
        </w:rPr>
        <w:t>所有现场数据均应转换为以功能单位为基准,且应详细记录相关的原始数据、数据来源、计算过程等；</w:t>
      </w:r>
    </w:p>
    <w:p>
      <w:pPr>
        <w:pStyle w:val="178"/>
        <w:numPr>
          <w:ilvl w:val="0"/>
          <w:numId w:val="35"/>
        </w:numPr>
        <w:rPr>
          <w:highlight w:val="none"/>
        </w:rPr>
      </w:pPr>
      <w:r>
        <w:rPr>
          <w:rFonts w:hint="eastAsia"/>
          <w:highlight w:val="none"/>
        </w:rPr>
        <w:t>一致性。现场数据采集时同类数据应保持相同的数据来源、统计口径、处理规则等。</w:t>
      </w:r>
    </w:p>
    <w:p>
      <w:pPr>
        <w:pStyle w:val="168"/>
        <w:rPr>
          <w:highlight w:val="none"/>
        </w:rPr>
      </w:pPr>
      <w:r>
        <w:rPr>
          <w:rFonts w:hint="eastAsia"/>
          <w:highlight w:val="none"/>
        </w:rPr>
        <w:t>背景数据的质量要求包括：</w:t>
      </w:r>
    </w:p>
    <w:p>
      <w:pPr>
        <w:pStyle w:val="178"/>
        <w:numPr>
          <w:ilvl w:val="0"/>
          <w:numId w:val="36"/>
        </w:numPr>
        <w:rPr>
          <w:highlight w:val="none"/>
        </w:rPr>
      </w:pPr>
      <w:r>
        <w:rPr>
          <w:rFonts w:hint="eastAsia"/>
          <w:highlight w:val="none"/>
        </w:rPr>
        <w:t>代表性。应优先选择企业的原材料供应商提供的符合GB/T 24044</w:t>
      </w:r>
      <w:r>
        <w:rPr>
          <w:rFonts w:hint="eastAsia"/>
          <w:strike w:val="0"/>
          <w:highlight w:val="none"/>
        </w:rPr>
        <w:t>—2008</w:t>
      </w:r>
      <w:r>
        <w:rPr>
          <w:rFonts w:hint="eastAsia"/>
          <w:highlight w:val="none"/>
        </w:rPr>
        <w:t>要求的、经第三方独立验证的上游产品碳足迹</w:t>
      </w:r>
      <w:r>
        <w:rPr>
          <w:rFonts w:hint="eastAsia"/>
          <w:highlight w:val="none"/>
          <w:lang w:eastAsia="zh-CN"/>
        </w:rPr>
        <w:t>或</w:t>
      </w:r>
      <w:r>
        <w:rPr>
          <w:rFonts w:hint="eastAsia"/>
          <w:highlight w:val="none"/>
        </w:rPr>
        <w:t>生命周期评价报告中的碳排放数据。若无,应优先选择代表中国国内平均生产水平的公开</w:t>
      </w:r>
      <w:r>
        <w:rPr>
          <w:rFonts w:hint="eastAsia"/>
          <w:highlight w:val="none"/>
          <w:lang w:eastAsia="zh-CN"/>
        </w:rPr>
        <w:t>碳排放</w:t>
      </w:r>
      <w:r>
        <w:rPr>
          <w:rFonts w:hint="eastAsia"/>
          <w:highlight w:val="none"/>
        </w:rPr>
        <w:t>数据,数据的参考年限应优先选择近年数据。在没有符合要求的中国国内数据的情况下,可以选择国外同类技术数据作为背景数据；</w:t>
      </w:r>
    </w:p>
    <w:p>
      <w:pPr>
        <w:pStyle w:val="178"/>
        <w:numPr>
          <w:ilvl w:val="0"/>
          <w:numId w:val="36"/>
        </w:numPr>
        <w:rPr>
          <w:highlight w:val="none"/>
        </w:rPr>
      </w:pPr>
      <w:r>
        <w:rPr>
          <w:rFonts w:hint="eastAsia"/>
          <w:highlight w:val="none"/>
        </w:rPr>
        <w:t>完整性。背景过程应具有完整的背景数据；</w:t>
      </w:r>
    </w:p>
    <w:p>
      <w:pPr>
        <w:pStyle w:val="178"/>
        <w:numPr>
          <w:ilvl w:val="0"/>
          <w:numId w:val="36"/>
        </w:numPr>
        <w:rPr>
          <w:highlight w:val="none"/>
        </w:rPr>
      </w:pPr>
      <w:r>
        <w:rPr>
          <w:rFonts w:hint="eastAsia"/>
          <w:highlight w:val="none"/>
        </w:rPr>
        <w:t>一致性。同一机构对同类产品背景数据的选择应保持一致,如果背景数据更新,则产品碳足迹报告也应更新；</w:t>
      </w:r>
    </w:p>
    <w:p>
      <w:pPr>
        <w:pStyle w:val="178"/>
        <w:numPr>
          <w:ilvl w:val="0"/>
          <w:numId w:val="36"/>
        </w:numPr>
        <w:rPr>
          <w:highlight w:val="none"/>
        </w:rPr>
      </w:pPr>
      <w:r>
        <w:rPr>
          <w:rFonts w:hint="eastAsia"/>
          <w:highlight w:val="none"/>
        </w:rPr>
        <w:t>透明性。</w:t>
      </w:r>
      <w:r>
        <w:rPr>
          <w:highlight w:val="none"/>
        </w:rPr>
        <w:t>由于</w:t>
      </w:r>
      <w:r>
        <w:rPr>
          <w:rFonts w:hint="eastAsia"/>
          <w:highlight w:val="none"/>
        </w:rPr>
        <w:t>生命周期</w:t>
      </w:r>
      <w:r>
        <w:rPr>
          <w:highlight w:val="none"/>
        </w:rPr>
        <w:t>评价</w:t>
      </w:r>
      <w:r>
        <w:rPr>
          <w:rFonts w:hint="eastAsia"/>
          <w:highlight w:val="none"/>
        </w:rPr>
        <w:t>固有的</w:t>
      </w:r>
      <w:r>
        <w:rPr>
          <w:highlight w:val="none"/>
        </w:rPr>
        <w:t>复杂性，在</w:t>
      </w:r>
      <w:r>
        <w:rPr>
          <w:rFonts w:hint="eastAsia"/>
          <w:highlight w:val="none"/>
        </w:rPr>
        <w:t>应用</w:t>
      </w:r>
      <w:r>
        <w:rPr>
          <w:highlight w:val="none"/>
        </w:rPr>
        <w:t>背景数据时，对引用数据所做出的</w:t>
      </w:r>
      <w:r>
        <w:rPr>
          <w:rFonts w:hint="eastAsia"/>
          <w:highlight w:val="none"/>
        </w:rPr>
        <w:t>必要</w:t>
      </w:r>
      <w:r>
        <w:rPr>
          <w:highlight w:val="none"/>
        </w:rPr>
        <w:t>修改与关键数据应加以</w:t>
      </w:r>
      <w:r>
        <w:rPr>
          <w:rFonts w:hint="eastAsia"/>
          <w:highlight w:val="none"/>
        </w:rPr>
        <w:t>详细</w:t>
      </w:r>
      <w:r>
        <w:rPr>
          <w:highlight w:val="none"/>
        </w:rPr>
        <w:t>说明。</w:t>
      </w:r>
    </w:p>
    <w:p>
      <w:pPr>
        <w:pStyle w:val="108"/>
        <w:spacing w:before="120" w:after="120"/>
        <w:rPr>
          <w:highlight w:val="none"/>
        </w:rPr>
      </w:pPr>
      <w:bookmarkStart w:id="59" w:name="_Toc7747"/>
      <w:r>
        <w:rPr>
          <w:rFonts w:hint="eastAsia"/>
          <w:highlight w:val="none"/>
        </w:rPr>
        <w:t>分配</w:t>
      </w:r>
      <w:bookmarkEnd w:id="59"/>
    </w:p>
    <w:p>
      <w:pPr>
        <w:pStyle w:val="59"/>
        <w:ind w:firstLine="420"/>
        <w:rPr>
          <w:highlight w:val="none"/>
        </w:rPr>
      </w:pPr>
      <w:r>
        <w:rPr>
          <w:rFonts w:hint="eastAsia"/>
          <w:highlight w:val="none"/>
        </w:rPr>
        <w:t>在评价过程中涉及共生产品清单分配方法应予以明确说明，应优先基于产品</w:t>
      </w:r>
      <w:r>
        <w:rPr>
          <w:rFonts w:hint="eastAsia"/>
          <w:highlight w:val="none"/>
          <w:lang w:eastAsia="zh-CN"/>
        </w:rPr>
        <w:t>功率</w:t>
      </w:r>
      <w:r>
        <w:rPr>
          <w:rFonts w:hint="eastAsia"/>
          <w:highlight w:val="none"/>
        </w:rPr>
        <w:t>进行分配。</w:t>
      </w:r>
    </w:p>
    <w:p>
      <w:pPr>
        <w:pStyle w:val="183"/>
        <w:rPr>
          <w:highlight w:val="none"/>
        </w:rPr>
      </w:pPr>
      <w:r>
        <w:rPr>
          <w:rFonts w:hint="eastAsia"/>
          <w:highlight w:val="none"/>
        </w:rPr>
        <w:t>同一企业生产的多种规格的光伏组件产品互为共生产品。</w:t>
      </w:r>
    </w:p>
    <w:p>
      <w:pPr>
        <w:pStyle w:val="59"/>
        <w:ind w:firstLine="420"/>
        <w:rPr>
          <w:highlight w:val="none"/>
        </w:rPr>
      </w:pPr>
    </w:p>
    <w:p>
      <w:pPr>
        <w:pStyle w:val="108"/>
        <w:spacing w:before="120" w:after="120"/>
        <w:rPr>
          <w:highlight w:val="none"/>
        </w:rPr>
      </w:pPr>
      <w:bookmarkStart w:id="60" w:name="_Toc2743"/>
      <w:r>
        <w:rPr>
          <w:rFonts w:hint="eastAsia"/>
          <w:highlight w:val="none"/>
        </w:rPr>
        <w:t>数据计算</w:t>
      </w:r>
      <w:bookmarkEnd w:id="60"/>
    </w:p>
    <w:p>
      <w:pPr>
        <w:pStyle w:val="59"/>
        <w:ind w:firstLine="420"/>
        <w:rPr>
          <w:highlight w:val="none"/>
        </w:rPr>
      </w:pPr>
      <w:r>
        <w:rPr>
          <w:rFonts w:hint="eastAsia"/>
          <w:highlight w:val="none"/>
        </w:rPr>
        <w:t>以功能单位为基准的温室气体排放总量计算公式见公式（1）</w:t>
      </w:r>
    </w:p>
    <w:p>
      <w:pPr>
        <w:pStyle w:val="116"/>
        <w:rPr>
          <w:highlight w:val="none"/>
        </w:rPr>
      </w:pPr>
      <w:r>
        <w:rPr>
          <w:rFonts w:hint="eastAsia"/>
          <w:highlight w:val="none"/>
        </w:rPr>
        <w:tab/>
      </w:r>
      <w:r>
        <w:rPr>
          <w:rFonts w:hint="eastAsia"/>
          <w:position w:val="-14"/>
          <w:highlight w:val="none"/>
        </w:rPr>
        <w:object>
          <v:shape id="_x0000_i1025" o:spt="75" type="#_x0000_t75" style="height:19.7pt;width:114.1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5" r:id="rId25">
            <o:LockedField>false</o:LockedField>
          </o:OLEObject>
        </w:object>
      </w:r>
      <w:r>
        <w:rPr>
          <w:rFonts w:hint="eastAsia"/>
          <w:highlight w:val="none"/>
        </w:rPr>
        <w:tab/>
      </w:r>
      <w:r>
        <w:rPr>
          <w:rFonts w:hint="eastAsia"/>
          <w:highlight w:val="none"/>
        </w:rPr>
        <w:t>（1）</w:t>
      </w:r>
    </w:p>
    <w:p>
      <w:pPr>
        <w:pStyle w:val="178"/>
        <w:numPr>
          <w:ilvl w:val="0"/>
          <w:numId w:val="0"/>
        </w:numPr>
        <w:ind w:firstLine="420" w:firstLineChars="200"/>
        <w:rPr>
          <w:highlight w:val="none"/>
        </w:rPr>
      </w:pPr>
      <w:r>
        <w:rPr>
          <w:rFonts w:hint="eastAsia"/>
          <w:highlight w:val="none"/>
        </w:rPr>
        <w:t>式中：</w:t>
      </w:r>
    </w:p>
    <w:p>
      <w:pPr>
        <w:pStyle w:val="178"/>
        <w:numPr>
          <w:ilvl w:val="0"/>
          <w:numId w:val="0"/>
        </w:numPr>
        <w:ind w:firstLine="420" w:firstLineChars="200"/>
        <w:rPr>
          <w:rFonts w:hAnsi="宋体" w:cs="宋体"/>
          <w:highlight w:val="none"/>
        </w:rPr>
      </w:pPr>
      <w:r>
        <w:rPr>
          <w:rFonts w:hint="eastAsia" w:hAnsi="宋体" w:cs="宋体"/>
          <w:highlight w:val="none"/>
        </w:rPr>
        <w:t xml:space="preserve">F   </w:t>
      </w:r>
      <w:r>
        <w:rPr>
          <w:rFonts w:ascii="Times New Roman"/>
          <w:highlight w:val="none"/>
        </w:rPr>
        <w:t>——</w:t>
      </w:r>
      <w:r>
        <w:rPr>
          <w:rFonts w:hint="eastAsia" w:hAnsi="宋体" w:cs="宋体"/>
          <w:highlight w:val="none"/>
        </w:rPr>
        <w:t>功能单位；</w:t>
      </w:r>
    </w:p>
    <w:p>
      <w:pPr>
        <w:pStyle w:val="178"/>
        <w:numPr>
          <w:ilvl w:val="0"/>
          <w:numId w:val="0"/>
        </w:numPr>
        <w:ind w:firstLine="420" w:firstLineChars="200"/>
        <w:rPr>
          <w:rFonts w:hAnsi="宋体" w:cs="宋体"/>
          <w:highlight w:val="none"/>
        </w:rPr>
      </w:pPr>
      <w:r>
        <w:rPr>
          <w:rFonts w:hint="eastAsia" w:hAnsi="宋体" w:cs="宋体"/>
          <w:highlight w:val="none"/>
        </w:rPr>
        <w:t>S</w:t>
      </w:r>
      <w:r>
        <w:rPr>
          <w:rFonts w:hint="eastAsia" w:hAnsi="宋体" w:cs="宋体"/>
          <w:highlight w:val="none"/>
          <w:vertAlign w:val="subscript"/>
        </w:rPr>
        <w:t xml:space="preserve">F     </w:t>
      </w:r>
      <w:r>
        <w:rPr>
          <w:rFonts w:ascii="Times New Roman"/>
          <w:highlight w:val="none"/>
        </w:rPr>
        <w:t>——</w:t>
      </w:r>
      <w:r>
        <w:rPr>
          <w:rFonts w:hint="eastAsia" w:hAnsi="宋体" w:cs="宋体"/>
          <w:highlight w:val="none"/>
        </w:rPr>
        <w:t>以功能单位F为基准的温室气体排放总量，单位为吨二氧化碳当量（tCO</w:t>
      </w:r>
      <w:r>
        <w:rPr>
          <w:rFonts w:hint="eastAsia" w:hAnsi="宋体" w:cs="宋体"/>
          <w:highlight w:val="none"/>
          <w:vertAlign w:val="subscript"/>
        </w:rPr>
        <w:t>2</w:t>
      </w:r>
      <w:r>
        <w:rPr>
          <w:rFonts w:hint="eastAsia" w:hAnsi="宋体" w:cs="宋体"/>
          <w:highlight w:val="none"/>
        </w:rPr>
        <w:t>e）；</w:t>
      </w:r>
    </w:p>
    <w:p>
      <w:pPr>
        <w:pStyle w:val="178"/>
        <w:numPr>
          <w:ilvl w:val="0"/>
          <w:numId w:val="0"/>
        </w:numPr>
        <w:ind w:firstLine="420" w:firstLineChars="200"/>
        <w:rPr>
          <w:rFonts w:hAnsi="宋体" w:cs="宋体"/>
          <w:highlight w:val="none"/>
        </w:rPr>
      </w:pPr>
      <w:r>
        <w:rPr>
          <w:rFonts w:hint="eastAsia" w:hAnsi="宋体" w:cs="宋体"/>
          <w:highlight w:val="none"/>
        </w:rPr>
        <w:t xml:space="preserve">i   </w:t>
      </w:r>
      <w:r>
        <w:rPr>
          <w:rFonts w:ascii="Times New Roman"/>
          <w:highlight w:val="none"/>
        </w:rPr>
        <w:t>——</w:t>
      </w:r>
      <w:r>
        <w:rPr>
          <w:rFonts w:hint="eastAsia" w:hAnsi="宋体" w:cs="宋体"/>
          <w:highlight w:val="none"/>
        </w:rPr>
        <w:t>单元过程；</w:t>
      </w:r>
    </w:p>
    <w:p>
      <w:pPr>
        <w:pStyle w:val="178"/>
        <w:numPr>
          <w:ilvl w:val="0"/>
          <w:numId w:val="0"/>
        </w:numPr>
        <w:ind w:firstLine="420" w:firstLineChars="200"/>
        <w:rPr>
          <w:rFonts w:hAnsi="宋体" w:cs="宋体"/>
          <w:highlight w:val="none"/>
        </w:rPr>
      </w:pPr>
      <w:r>
        <w:rPr>
          <w:rFonts w:hint="eastAsia" w:hAnsi="宋体" w:cs="宋体"/>
          <w:highlight w:val="none"/>
        </w:rPr>
        <w:t>j</w:t>
      </w:r>
      <w:r>
        <w:rPr>
          <w:rFonts w:hint="eastAsia" w:hAnsi="宋体" w:cs="宋体"/>
          <w:highlight w:val="none"/>
          <w:vertAlign w:val="subscript"/>
        </w:rPr>
        <w:t xml:space="preserve">      </w:t>
      </w:r>
      <w:r>
        <w:rPr>
          <w:rFonts w:ascii="Times New Roman"/>
          <w:highlight w:val="none"/>
        </w:rPr>
        <w:t>——</w:t>
      </w:r>
      <w:r>
        <w:rPr>
          <w:rFonts w:hint="eastAsia" w:hAnsi="宋体" w:cs="宋体"/>
          <w:highlight w:val="none"/>
        </w:rPr>
        <w:t>温室气体种类</w:t>
      </w:r>
      <w:r>
        <w:rPr>
          <w:rFonts w:hint="eastAsia" w:hAnsi="宋体" w:cs="宋体"/>
          <w:highlight w:val="none"/>
          <w:lang w:eastAsia="zh-CN"/>
        </w:rPr>
        <w:t>，</w:t>
      </w:r>
      <w:r>
        <w:rPr>
          <w:rFonts w:hint="eastAsia" w:hAnsi="宋体" w:cs="宋体"/>
          <w:highlight w:val="none"/>
        </w:rPr>
        <w:t>如二氧化碳(CO</w:t>
      </w:r>
      <w:r>
        <w:rPr>
          <w:rFonts w:hint="eastAsia" w:hAnsi="宋体" w:cs="宋体"/>
          <w:highlight w:val="none"/>
          <w:vertAlign w:val="subscript"/>
        </w:rPr>
        <w:t>2</w:t>
      </w:r>
      <w:r>
        <w:rPr>
          <w:rFonts w:hint="eastAsia" w:hAnsi="宋体" w:cs="宋体"/>
          <w:highlight w:val="none"/>
        </w:rPr>
        <w:t>)、</w:t>
      </w:r>
      <w:r>
        <w:rPr>
          <w:rFonts w:hint="eastAsia" w:hAnsi="宋体" w:cs="宋体"/>
          <w:highlight w:val="none"/>
          <w:lang w:eastAsia="zh-CN"/>
        </w:rPr>
        <w:t>甲烷</w:t>
      </w:r>
      <w:r>
        <w:rPr>
          <w:rFonts w:hint="eastAsia" w:hAnsi="宋体" w:cs="宋体"/>
          <w:highlight w:val="none"/>
        </w:rPr>
        <w:t>(CH</w:t>
      </w:r>
      <w:r>
        <w:rPr>
          <w:rFonts w:hint="eastAsia" w:hAnsi="宋体" w:cs="宋体"/>
          <w:highlight w:val="none"/>
          <w:vertAlign w:val="subscript"/>
        </w:rPr>
        <w:t>4</w:t>
      </w:r>
      <w:r>
        <w:rPr>
          <w:rFonts w:hint="eastAsia" w:hAnsi="宋体" w:cs="宋体"/>
          <w:highlight w:val="none"/>
        </w:rPr>
        <w:t>)、氧化亚氮(N</w:t>
      </w:r>
      <w:r>
        <w:rPr>
          <w:rFonts w:hint="eastAsia" w:hAnsi="宋体" w:cs="宋体"/>
          <w:highlight w:val="none"/>
          <w:vertAlign w:val="subscript"/>
        </w:rPr>
        <w:t>2</w:t>
      </w:r>
      <w:r>
        <w:rPr>
          <w:rFonts w:hint="eastAsia" w:hAnsi="宋体" w:cs="宋体"/>
          <w:highlight w:val="none"/>
        </w:rPr>
        <w:t>0)等；</w:t>
      </w:r>
    </w:p>
    <w:p>
      <w:pPr>
        <w:pStyle w:val="178"/>
        <w:numPr>
          <w:ilvl w:val="0"/>
          <w:numId w:val="0"/>
        </w:numPr>
        <w:ind w:firstLine="420" w:firstLineChars="200"/>
        <w:rPr>
          <w:rFonts w:hAnsi="宋体" w:cs="宋体"/>
          <w:highlight w:val="none"/>
        </w:rPr>
      </w:pPr>
      <w:r>
        <w:rPr>
          <w:rFonts w:hint="eastAsia" w:hAnsi="宋体" w:cs="宋体"/>
          <w:highlight w:val="none"/>
        </w:rPr>
        <w:t>a</w:t>
      </w:r>
      <w:r>
        <w:rPr>
          <w:rFonts w:hint="eastAsia" w:hAnsi="宋体" w:cs="宋体"/>
          <w:highlight w:val="none"/>
          <w:vertAlign w:val="subscript"/>
        </w:rPr>
        <w:t xml:space="preserve">F，i  </w:t>
      </w:r>
      <w:r>
        <w:rPr>
          <w:rFonts w:ascii="Times New Roman"/>
          <w:highlight w:val="none"/>
        </w:rPr>
        <w:t>——</w:t>
      </w:r>
      <w:r>
        <w:rPr>
          <w:rFonts w:hint="eastAsia" w:hAnsi="宋体" w:cs="宋体"/>
          <w:highlight w:val="none"/>
        </w:rPr>
        <w:t>在产品系统中原辅料、能源</w:t>
      </w:r>
      <w:r>
        <w:rPr>
          <w:rFonts w:hint="eastAsia" w:hAnsi="宋体" w:cs="宋体"/>
          <w:highlight w:val="none"/>
          <w:lang w:eastAsia="zh-CN"/>
        </w:rPr>
        <w:t>、运输</w:t>
      </w:r>
      <w:r>
        <w:rPr>
          <w:rFonts w:hint="eastAsia" w:hAnsi="宋体" w:cs="宋体"/>
          <w:highlight w:val="none"/>
        </w:rPr>
        <w:t>等</w:t>
      </w:r>
      <w:r>
        <w:rPr>
          <w:rFonts w:hint="eastAsia" w:hAnsi="宋体" w:cs="宋体"/>
          <w:highlight w:val="none"/>
          <w:lang w:eastAsia="zh-CN"/>
        </w:rPr>
        <w:t>过程</w:t>
      </w:r>
      <w:r>
        <w:rPr>
          <w:rFonts w:hint="eastAsia" w:hAnsi="宋体" w:cs="宋体"/>
          <w:highlight w:val="none"/>
        </w:rPr>
        <w:t>每功能单位的直接消耗量；</w:t>
      </w:r>
    </w:p>
    <w:p>
      <w:pPr>
        <w:pStyle w:val="178"/>
        <w:numPr>
          <w:ilvl w:val="0"/>
          <w:numId w:val="0"/>
        </w:numPr>
        <w:ind w:firstLine="420" w:firstLineChars="200"/>
        <w:rPr>
          <w:rFonts w:hAnsi="宋体" w:cs="宋体"/>
          <w:highlight w:val="none"/>
        </w:rPr>
      </w:pPr>
      <w:r>
        <w:rPr>
          <w:rFonts w:hint="eastAsia" w:hAnsi="宋体" w:cs="宋体"/>
          <w:highlight w:val="none"/>
        </w:rPr>
        <w:t>b</w:t>
      </w:r>
      <w:r>
        <w:rPr>
          <w:rFonts w:hint="eastAsia" w:hAnsi="宋体" w:cs="宋体"/>
          <w:highlight w:val="none"/>
          <w:vertAlign w:val="subscript"/>
        </w:rPr>
        <w:t>F，i,j</w:t>
      </w:r>
      <w:r>
        <w:rPr>
          <w:rFonts w:ascii="Times New Roman"/>
          <w:highlight w:val="none"/>
        </w:rPr>
        <w:t>——</w:t>
      </w:r>
      <w:r>
        <w:rPr>
          <w:rFonts w:hint="eastAsia" w:hAnsi="宋体" w:cs="宋体"/>
          <w:highlight w:val="none"/>
        </w:rPr>
        <w:t>原辅料、能源获取及运输过程所对应的</w:t>
      </w:r>
      <w:r>
        <w:rPr>
          <w:rFonts w:hint="eastAsia" w:hAnsi="宋体" w:cs="宋体"/>
          <w:highlight w:val="none"/>
          <w:lang w:eastAsia="zh-CN"/>
        </w:rPr>
        <w:t>温室气体</w:t>
      </w:r>
      <w:r>
        <w:rPr>
          <w:rFonts w:hint="eastAsia" w:hAnsi="宋体" w:cs="宋体"/>
          <w:highlight w:val="none"/>
        </w:rPr>
        <w:t>排放因子；</w:t>
      </w:r>
    </w:p>
    <w:p>
      <w:pPr>
        <w:pStyle w:val="178"/>
        <w:numPr>
          <w:ilvl w:val="0"/>
          <w:numId w:val="0"/>
        </w:numPr>
        <w:ind w:firstLine="420" w:firstLineChars="200"/>
        <w:rPr>
          <w:rFonts w:hAnsi="宋体" w:cs="宋体"/>
          <w:highlight w:val="none"/>
        </w:rPr>
      </w:pPr>
      <w:r>
        <w:rPr>
          <w:rFonts w:hint="eastAsia" w:hAnsi="宋体" w:cs="宋体"/>
          <w:highlight w:val="none"/>
        </w:rPr>
        <w:t>c</w:t>
      </w:r>
      <w:r>
        <w:rPr>
          <w:rFonts w:hint="eastAsia" w:hAnsi="宋体" w:cs="宋体"/>
          <w:highlight w:val="none"/>
          <w:vertAlign w:val="subscript"/>
        </w:rPr>
        <w:t xml:space="preserve">j     </w:t>
      </w:r>
      <w:r>
        <w:rPr>
          <w:rFonts w:ascii="Times New Roman"/>
          <w:highlight w:val="none"/>
        </w:rPr>
        <w:t>——</w:t>
      </w:r>
      <w:r>
        <w:rPr>
          <w:rFonts w:hint="eastAsia" w:hAnsi="宋体" w:cs="宋体"/>
          <w:highlight w:val="none"/>
        </w:rPr>
        <w:t>温室气体所对应的全球增温潜势值；</w:t>
      </w:r>
    </w:p>
    <w:p>
      <w:pPr>
        <w:pStyle w:val="59"/>
        <w:ind w:firstLine="420"/>
        <w:rPr>
          <w:rFonts w:hAnsi="宋体" w:cs="宋体"/>
          <w:highlight w:val="none"/>
        </w:rPr>
      </w:pPr>
      <w:r>
        <w:rPr>
          <w:rFonts w:hint="eastAsia" w:hAnsi="宋体" w:cs="宋体"/>
          <w:highlight w:val="none"/>
        </w:rPr>
        <w:t>d</w:t>
      </w:r>
      <w:r>
        <w:rPr>
          <w:rFonts w:hint="eastAsia" w:hAnsi="宋体" w:cs="宋体"/>
          <w:highlight w:val="none"/>
          <w:vertAlign w:val="subscript"/>
        </w:rPr>
        <w:t xml:space="preserve">F     </w:t>
      </w:r>
      <w:r>
        <w:rPr>
          <w:rFonts w:ascii="Times New Roman"/>
          <w:highlight w:val="none"/>
        </w:rPr>
        <w:t>——</w:t>
      </w:r>
      <w:r>
        <w:rPr>
          <w:rFonts w:hint="eastAsia" w:hAnsi="宋体" w:cs="宋体"/>
          <w:highlight w:val="none"/>
        </w:rPr>
        <w:t>以功能单位F为基准的产品生产过程直接排放二氧化碳当量。</w:t>
      </w:r>
    </w:p>
    <w:p>
      <w:pPr>
        <w:pStyle w:val="107"/>
        <w:spacing w:before="240" w:after="240"/>
        <w:rPr>
          <w:highlight w:val="none"/>
        </w:rPr>
      </w:pPr>
      <w:bookmarkStart w:id="61" w:name="_Toc16613"/>
      <w:r>
        <w:rPr>
          <w:rFonts w:hint="eastAsia"/>
          <w:highlight w:val="none"/>
        </w:rPr>
        <w:t>产品碳足迹报告</w:t>
      </w:r>
      <w:bookmarkEnd w:id="61"/>
    </w:p>
    <w:p>
      <w:pPr>
        <w:pStyle w:val="178"/>
        <w:numPr>
          <w:ilvl w:val="0"/>
          <w:numId w:val="0"/>
        </w:numPr>
        <w:ind w:firstLine="420" w:firstLineChars="200"/>
        <w:rPr>
          <w:rFonts w:hAnsi="宋体" w:cs="宋体"/>
          <w:szCs w:val="21"/>
          <w:highlight w:val="none"/>
        </w:rPr>
      </w:pPr>
      <w:r>
        <w:rPr>
          <w:rFonts w:hint="eastAsia" w:hAnsi="宋体" w:cs="宋体"/>
          <w:szCs w:val="21"/>
          <w:highlight w:val="none"/>
        </w:rPr>
        <w:t>依据本文件编制的产品碳足迹报告应包括但不限于以下内容：</w:t>
      </w:r>
    </w:p>
    <w:p>
      <w:pPr>
        <w:pStyle w:val="178"/>
        <w:numPr>
          <w:ilvl w:val="0"/>
          <w:numId w:val="37"/>
        </w:numPr>
        <w:rPr>
          <w:rFonts w:hAnsi="宋体" w:cs="宋体"/>
          <w:highlight w:val="none"/>
        </w:rPr>
      </w:pPr>
      <w:r>
        <w:rPr>
          <w:rFonts w:hint="eastAsia" w:hAnsi="宋体" w:cs="宋体"/>
          <w:szCs w:val="21"/>
          <w:highlight w:val="none"/>
        </w:rPr>
        <w:t>企业基本信息。</w:t>
      </w:r>
    </w:p>
    <w:p>
      <w:pPr>
        <w:pStyle w:val="178"/>
        <w:numPr>
          <w:ilvl w:val="0"/>
          <w:numId w:val="37"/>
        </w:numPr>
        <w:rPr>
          <w:rFonts w:hAnsi="宋体" w:cs="宋体"/>
          <w:highlight w:val="none"/>
        </w:rPr>
      </w:pPr>
      <w:r>
        <w:rPr>
          <w:rFonts w:hint="eastAsia" w:hAnsi="宋体" w:cs="宋体"/>
          <w:szCs w:val="21"/>
          <w:highlight w:val="none"/>
        </w:rPr>
        <w:t>产品碳足迹评价:</w:t>
      </w:r>
    </w:p>
    <w:p>
      <w:pPr>
        <w:pStyle w:val="112"/>
        <w:numPr>
          <w:ilvl w:val="1"/>
          <w:numId w:val="38"/>
        </w:numPr>
        <w:rPr>
          <w:rFonts w:hAnsi="宋体" w:cs="宋体"/>
          <w:highlight w:val="none"/>
        </w:rPr>
      </w:pPr>
      <w:r>
        <w:rPr>
          <w:rFonts w:hint="eastAsia" w:hAnsi="宋体" w:cs="宋体"/>
          <w:szCs w:val="21"/>
          <w:highlight w:val="none"/>
        </w:rPr>
        <w:t>产品描述；</w:t>
      </w:r>
    </w:p>
    <w:p>
      <w:pPr>
        <w:pStyle w:val="112"/>
        <w:numPr>
          <w:ilvl w:val="1"/>
          <w:numId w:val="38"/>
        </w:numPr>
        <w:rPr>
          <w:rFonts w:hAnsi="宋体" w:cs="宋体"/>
          <w:highlight w:val="none"/>
        </w:rPr>
      </w:pPr>
      <w:r>
        <w:rPr>
          <w:rFonts w:hint="eastAsia" w:hAnsi="宋体" w:cs="宋体"/>
          <w:szCs w:val="21"/>
          <w:highlight w:val="none"/>
        </w:rPr>
        <w:t>评价范围:功能单位、系统边界；</w:t>
      </w:r>
    </w:p>
    <w:p>
      <w:pPr>
        <w:pStyle w:val="112"/>
        <w:numPr>
          <w:ilvl w:val="1"/>
          <w:numId w:val="38"/>
        </w:numPr>
        <w:rPr>
          <w:rFonts w:hAnsi="宋体" w:cs="宋体"/>
          <w:highlight w:val="none"/>
        </w:rPr>
      </w:pPr>
      <w:r>
        <w:rPr>
          <w:rFonts w:hint="eastAsia" w:hAnsi="宋体" w:cs="宋体"/>
          <w:szCs w:val="21"/>
          <w:highlight w:val="none"/>
        </w:rPr>
        <w:t>产品碳足迹计算:数据采集、数据分配、计算；</w:t>
      </w:r>
    </w:p>
    <w:p>
      <w:pPr>
        <w:pStyle w:val="112"/>
        <w:numPr>
          <w:ilvl w:val="1"/>
          <w:numId w:val="38"/>
        </w:numPr>
        <w:rPr>
          <w:rFonts w:hAnsi="宋体" w:cs="宋体"/>
          <w:highlight w:val="none"/>
        </w:rPr>
      </w:pPr>
      <w:r>
        <w:rPr>
          <w:rFonts w:hint="eastAsia" w:hAnsi="宋体" w:cs="宋体"/>
          <w:szCs w:val="21"/>
          <w:highlight w:val="none"/>
        </w:rPr>
        <w:t>产品碳足迹计算结果。</w:t>
      </w:r>
    </w:p>
    <w:p>
      <w:pPr>
        <w:pStyle w:val="178"/>
        <w:numPr>
          <w:ilvl w:val="0"/>
          <w:numId w:val="37"/>
        </w:numPr>
        <w:rPr>
          <w:rFonts w:hAnsi="宋体" w:cs="宋体"/>
          <w:highlight w:val="none"/>
        </w:rPr>
      </w:pPr>
      <w:r>
        <w:rPr>
          <w:rFonts w:hint="eastAsia" w:hAnsi="宋体" w:cs="宋体"/>
          <w:szCs w:val="21"/>
          <w:highlight w:val="none"/>
        </w:rPr>
        <w:t>其他必要信息:有效期、报告编制及评价机构信息等。</w:t>
      </w:r>
    </w:p>
    <w:p>
      <w:pPr>
        <w:pStyle w:val="178"/>
        <w:numPr>
          <w:ilvl w:val="0"/>
          <w:numId w:val="0"/>
        </w:numPr>
        <w:rPr>
          <w:highlight w:val="none"/>
        </w:rPr>
      </w:pPr>
    </w:p>
    <w:p>
      <w:pPr>
        <w:pStyle w:val="178"/>
        <w:numPr>
          <w:ilvl w:val="0"/>
          <w:numId w:val="0"/>
        </w:numPr>
        <w:rPr>
          <w:highlight w:val="none"/>
        </w:rPr>
        <w:sectPr>
          <w:headerReference r:id="rId11" w:type="default"/>
          <w:footerReference r:id="rId13" w:type="default"/>
          <w:headerReference r:id="rId12" w:type="even"/>
          <w:footerReference r:id="rId14" w:type="even"/>
          <w:pgSz w:w="11906" w:h="16838"/>
          <w:pgMar w:top="567" w:right="1134" w:bottom="1134" w:left="1134" w:header="1418" w:footer="1134" w:gutter="284"/>
          <w:pgNumType w:start="1"/>
          <w:cols w:space="425" w:num="1"/>
          <w:formProt w:val="0"/>
          <w:docGrid w:linePitch="312" w:charSpace="0"/>
        </w:sectPr>
      </w:pPr>
    </w:p>
    <w:bookmarkEnd w:id="24"/>
    <w:p>
      <w:pPr>
        <w:pStyle w:val="79"/>
        <w:keepNext w:val="0"/>
        <w:keepLines w:val="0"/>
        <w:pageBreakBefore w:val="0"/>
        <w:widowControl/>
        <w:kinsoku/>
        <w:wordWrap/>
        <w:overflowPunct/>
        <w:topLinePunct w:val="0"/>
        <w:autoSpaceDE/>
        <w:autoSpaceDN/>
        <w:bidi w:val="0"/>
        <w:adjustRightInd/>
        <w:snapToGrid/>
        <w:spacing w:before="567" w:beforeLines="0" w:after="283" w:afterLines="0"/>
        <w:textAlignment w:val="auto"/>
        <w:rPr>
          <w:highlight w:val="none"/>
        </w:rPr>
      </w:pPr>
      <w:bookmarkStart w:id="62" w:name="_Toc19435"/>
      <w:bookmarkStart w:id="63" w:name="BookMark5"/>
      <w:r>
        <w:rPr>
          <w:highlight w:val="none"/>
        </w:rPr>
        <w:br w:type="textWrapping"/>
      </w:r>
      <w:r>
        <w:rPr>
          <w:rFonts w:hint="eastAsia"/>
          <w:highlight w:val="none"/>
        </w:rPr>
        <w:t>（资料性）</w:t>
      </w:r>
      <w:r>
        <w:rPr>
          <w:highlight w:val="none"/>
        </w:rPr>
        <w:br w:type="textWrapping"/>
      </w:r>
      <w:r>
        <w:rPr>
          <w:rFonts w:hint="eastAsia"/>
          <w:highlight w:val="none"/>
        </w:rPr>
        <w:t>现场数据收集表</w:t>
      </w:r>
      <w:bookmarkEnd w:id="62"/>
    </w:p>
    <w:p>
      <w:pPr>
        <w:pStyle w:val="215"/>
        <w:numPr>
          <w:ilvl w:val="0"/>
          <w:numId w:val="0"/>
        </w:numPr>
        <w:spacing w:line="240" w:lineRule="auto"/>
        <w:ind w:firstLine="420" w:firstLineChars="200"/>
        <w:rPr>
          <w:highlight w:val="none"/>
        </w:rPr>
      </w:pPr>
      <w:r>
        <w:rPr>
          <w:rFonts w:hint="eastAsia"/>
          <w:highlight w:val="none"/>
        </w:rPr>
        <w:t>现场数据收集表见表A.1。</w:t>
      </w:r>
    </w:p>
    <w:p>
      <w:pPr>
        <w:pStyle w:val="215"/>
        <w:numPr>
          <w:ilvl w:val="0"/>
          <w:numId w:val="0"/>
        </w:numPr>
        <w:spacing w:before="120" w:beforeLines="50" w:after="120" w:afterLines="50" w:line="240" w:lineRule="auto"/>
        <w:jc w:val="center"/>
        <w:rPr>
          <w:rFonts w:hint="eastAsia" w:ascii="黑体" w:hAnsi="黑体" w:eastAsia="黑体" w:cs="黑体"/>
          <w:highlight w:val="none"/>
        </w:rPr>
      </w:pPr>
      <w:r>
        <w:rPr>
          <w:rFonts w:hint="eastAsia" w:ascii="黑体" w:hAnsi="黑体" w:eastAsia="黑体" w:cs="黑体"/>
          <w:highlight w:val="none"/>
        </w:rPr>
        <w:t>表A.1  现场数据收集表</w:t>
      </w:r>
    </w:p>
    <w:tbl>
      <w:tblPr>
        <w:tblStyle w:val="29"/>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403"/>
        <w:gridCol w:w="953"/>
        <w:gridCol w:w="237"/>
        <w:gridCol w:w="796"/>
        <w:gridCol w:w="394"/>
        <w:gridCol w:w="635"/>
        <w:gridCol w:w="63"/>
        <w:gridCol w:w="492"/>
        <w:gridCol w:w="475"/>
        <w:gridCol w:w="716"/>
        <w:gridCol w:w="46"/>
        <w:gridCol w:w="268"/>
        <w:gridCol w:w="876"/>
        <w:gridCol w:w="153"/>
        <w:gridCol w:w="10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25" w:type="pct"/>
            <w:vMerge w:val="restart"/>
            <w:vAlign w:val="center"/>
          </w:tcPr>
          <w:p>
            <w:pPr>
              <w:pStyle w:val="215"/>
              <w:numPr>
                <w:ilvl w:val="0"/>
                <w:numId w:val="0"/>
              </w:numPr>
              <w:jc w:val="center"/>
              <w:rPr>
                <w:sz w:val="18"/>
                <w:szCs w:val="18"/>
                <w:highlight w:val="none"/>
              </w:rPr>
            </w:pPr>
            <w:r>
              <w:rPr>
                <w:rFonts w:hint="eastAsia"/>
                <w:sz w:val="18"/>
                <w:szCs w:val="18"/>
                <w:highlight w:val="none"/>
              </w:rPr>
              <w:t>企业信息</w:t>
            </w:r>
          </w:p>
        </w:tc>
        <w:tc>
          <w:tcPr>
            <w:tcW w:w="733" w:type="pct"/>
            <w:vAlign w:val="center"/>
          </w:tcPr>
          <w:p>
            <w:pPr>
              <w:pStyle w:val="215"/>
              <w:numPr>
                <w:ilvl w:val="0"/>
                <w:numId w:val="0"/>
              </w:numPr>
              <w:jc w:val="center"/>
              <w:rPr>
                <w:sz w:val="18"/>
                <w:szCs w:val="18"/>
                <w:highlight w:val="none"/>
              </w:rPr>
            </w:pPr>
            <w:r>
              <w:rPr>
                <w:rFonts w:hint="eastAsia"/>
                <w:sz w:val="18"/>
                <w:szCs w:val="18"/>
                <w:highlight w:val="none"/>
              </w:rPr>
              <w:t>企业名称</w:t>
            </w:r>
          </w:p>
        </w:tc>
        <w:tc>
          <w:tcPr>
            <w:tcW w:w="3740" w:type="pct"/>
            <w:gridSpan w:val="14"/>
            <w:vAlign w:val="center"/>
          </w:tcPr>
          <w:p>
            <w:pPr>
              <w:pStyle w:val="215"/>
              <w:numPr>
                <w:ilvl w:val="0"/>
                <w:numId w:val="0"/>
              </w:numPr>
              <w:rPr>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Align w:val="center"/>
          </w:tcPr>
          <w:p>
            <w:pPr>
              <w:pStyle w:val="215"/>
              <w:numPr>
                <w:ilvl w:val="0"/>
                <w:numId w:val="0"/>
              </w:numPr>
              <w:jc w:val="center"/>
              <w:rPr>
                <w:sz w:val="18"/>
                <w:szCs w:val="18"/>
                <w:highlight w:val="none"/>
              </w:rPr>
            </w:pPr>
            <w:r>
              <w:rPr>
                <w:rFonts w:hint="eastAsia"/>
                <w:sz w:val="18"/>
                <w:szCs w:val="18"/>
                <w:highlight w:val="none"/>
              </w:rPr>
              <w:t>所在省份</w:t>
            </w:r>
          </w:p>
        </w:tc>
        <w:tc>
          <w:tcPr>
            <w:tcW w:w="3740" w:type="pct"/>
            <w:gridSpan w:val="14"/>
            <w:vAlign w:val="center"/>
          </w:tcPr>
          <w:p>
            <w:pPr>
              <w:pStyle w:val="215"/>
              <w:numPr>
                <w:ilvl w:val="0"/>
                <w:numId w:val="0"/>
              </w:numPr>
              <w:rPr>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Align w:val="center"/>
          </w:tcPr>
          <w:p>
            <w:pPr>
              <w:pStyle w:val="215"/>
              <w:numPr>
                <w:ilvl w:val="0"/>
                <w:numId w:val="0"/>
              </w:numPr>
              <w:jc w:val="center"/>
              <w:rPr>
                <w:sz w:val="18"/>
                <w:szCs w:val="18"/>
                <w:highlight w:val="none"/>
              </w:rPr>
            </w:pPr>
            <w:r>
              <w:rPr>
                <w:rFonts w:hint="eastAsia"/>
                <w:sz w:val="18"/>
                <w:szCs w:val="18"/>
                <w:highlight w:val="none"/>
              </w:rPr>
              <w:t>企业地址</w:t>
            </w:r>
          </w:p>
        </w:tc>
        <w:tc>
          <w:tcPr>
            <w:tcW w:w="3740" w:type="pct"/>
            <w:gridSpan w:val="14"/>
            <w:vAlign w:val="center"/>
          </w:tcPr>
          <w:p>
            <w:pPr>
              <w:pStyle w:val="215"/>
              <w:numPr>
                <w:ilvl w:val="0"/>
                <w:numId w:val="0"/>
              </w:numPr>
              <w:jc w:val="left"/>
              <w:rPr>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Merge w:val="restart"/>
            <w:vAlign w:val="center"/>
          </w:tcPr>
          <w:p>
            <w:pPr>
              <w:pStyle w:val="215"/>
              <w:numPr>
                <w:ilvl w:val="0"/>
                <w:numId w:val="0"/>
              </w:numPr>
              <w:ind w:left="0" w:leftChars="0" w:firstLine="0" w:firstLineChars="0"/>
              <w:jc w:val="center"/>
              <w:rPr>
                <w:rFonts w:ascii="宋体" w:hAnsi="Times New Roman" w:eastAsia="宋体" w:cs="Times New Roman"/>
                <w:kern w:val="21"/>
                <w:sz w:val="18"/>
                <w:szCs w:val="18"/>
                <w:highlight w:val="none"/>
                <w:lang w:val="en-US" w:eastAsia="zh-CN" w:bidi="ar-SA"/>
              </w:rPr>
            </w:pPr>
            <w:r>
              <w:rPr>
                <w:rFonts w:hint="eastAsia"/>
                <w:sz w:val="18"/>
                <w:szCs w:val="18"/>
                <w:highlight w:val="none"/>
              </w:rPr>
              <w:t>联系人</w:t>
            </w:r>
          </w:p>
        </w:tc>
        <w:tc>
          <w:tcPr>
            <w:tcW w:w="1609" w:type="pct"/>
            <w:gridSpan w:val="6"/>
            <w:vMerge w:val="restart"/>
            <w:vAlign w:val="center"/>
          </w:tcPr>
          <w:p>
            <w:pPr>
              <w:pStyle w:val="215"/>
              <w:numPr>
                <w:ilvl w:val="0"/>
                <w:numId w:val="0"/>
              </w:numPr>
              <w:ind w:left="0" w:leftChars="0" w:firstLine="0" w:firstLineChars="0"/>
              <w:jc w:val="center"/>
              <w:rPr>
                <w:rFonts w:hint="eastAsia"/>
                <w:sz w:val="18"/>
                <w:szCs w:val="18"/>
                <w:highlight w:val="none"/>
              </w:rPr>
            </w:pPr>
          </w:p>
        </w:tc>
        <w:tc>
          <w:tcPr>
            <w:tcW w:w="903" w:type="pct"/>
            <w:gridSpan w:val="4"/>
            <w:vAlign w:val="center"/>
          </w:tcPr>
          <w:p>
            <w:pPr>
              <w:pStyle w:val="215"/>
              <w:numPr>
                <w:ilvl w:val="0"/>
                <w:numId w:val="0"/>
              </w:numPr>
              <w:ind w:left="0" w:leftChars="0" w:firstLine="0" w:firstLineChars="0"/>
              <w:jc w:val="center"/>
              <w:rPr>
                <w:rFonts w:hint="eastAsia"/>
                <w:sz w:val="18"/>
                <w:szCs w:val="18"/>
                <w:highlight w:val="none"/>
              </w:rPr>
            </w:pPr>
            <w:r>
              <w:rPr>
                <w:rFonts w:hint="eastAsia"/>
                <w:sz w:val="18"/>
                <w:szCs w:val="18"/>
                <w:highlight w:val="none"/>
              </w:rPr>
              <w:t>电话</w:t>
            </w:r>
          </w:p>
        </w:tc>
        <w:tc>
          <w:tcPr>
            <w:tcW w:w="1227" w:type="pct"/>
            <w:gridSpan w:val="4"/>
            <w:vAlign w:val="center"/>
          </w:tcPr>
          <w:p>
            <w:pPr>
              <w:pStyle w:val="215"/>
              <w:numPr>
                <w:ilvl w:val="0"/>
                <w:numId w:val="0"/>
              </w:numPr>
              <w:ind w:left="0" w:leftChars="0" w:firstLine="0" w:firstLineChars="0"/>
              <w:jc w:val="cente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Merge w:val="continue"/>
            <w:vAlign w:val="center"/>
          </w:tcPr>
          <w:p>
            <w:pPr>
              <w:pStyle w:val="215"/>
              <w:numPr>
                <w:ilvl w:val="0"/>
                <w:numId w:val="0"/>
              </w:numPr>
              <w:ind w:left="0" w:leftChars="0" w:firstLine="0" w:firstLineChars="0"/>
              <w:jc w:val="center"/>
              <w:rPr>
                <w:rFonts w:hint="eastAsia"/>
                <w:sz w:val="18"/>
                <w:szCs w:val="18"/>
                <w:highlight w:val="none"/>
              </w:rPr>
            </w:pPr>
          </w:p>
        </w:tc>
        <w:tc>
          <w:tcPr>
            <w:tcW w:w="1609" w:type="pct"/>
            <w:gridSpan w:val="6"/>
            <w:vMerge w:val="continue"/>
            <w:vAlign w:val="center"/>
          </w:tcPr>
          <w:p>
            <w:pPr>
              <w:pStyle w:val="215"/>
              <w:numPr>
                <w:ilvl w:val="0"/>
                <w:numId w:val="0"/>
              </w:numPr>
              <w:ind w:left="0" w:leftChars="0" w:firstLine="0" w:firstLineChars="0"/>
              <w:jc w:val="center"/>
              <w:rPr>
                <w:rFonts w:hint="eastAsia"/>
                <w:sz w:val="18"/>
                <w:szCs w:val="18"/>
                <w:highlight w:val="none"/>
              </w:rPr>
            </w:pPr>
          </w:p>
        </w:tc>
        <w:tc>
          <w:tcPr>
            <w:tcW w:w="903" w:type="pct"/>
            <w:gridSpan w:val="4"/>
            <w:vAlign w:val="center"/>
          </w:tcPr>
          <w:p>
            <w:pPr>
              <w:pStyle w:val="215"/>
              <w:numPr>
                <w:ilvl w:val="0"/>
                <w:numId w:val="0"/>
              </w:numPr>
              <w:ind w:left="0" w:leftChars="0" w:firstLine="0" w:firstLineChars="0"/>
              <w:jc w:val="center"/>
              <w:rPr>
                <w:rFonts w:hint="eastAsia"/>
                <w:sz w:val="18"/>
                <w:szCs w:val="18"/>
                <w:highlight w:val="none"/>
                <w:lang w:val="en-US" w:eastAsia="zh-CN"/>
              </w:rPr>
            </w:pPr>
            <w:r>
              <w:rPr>
                <w:rFonts w:hint="eastAsia"/>
                <w:sz w:val="18"/>
                <w:szCs w:val="18"/>
                <w:highlight w:val="none"/>
                <w:lang w:val="en-US" w:eastAsia="zh-CN"/>
              </w:rPr>
              <w:t>邮箱</w:t>
            </w:r>
          </w:p>
        </w:tc>
        <w:tc>
          <w:tcPr>
            <w:tcW w:w="1227" w:type="pct"/>
            <w:gridSpan w:val="4"/>
            <w:vAlign w:val="center"/>
          </w:tcPr>
          <w:p>
            <w:pPr>
              <w:pStyle w:val="215"/>
              <w:numPr>
                <w:ilvl w:val="0"/>
                <w:numId w:val="0"/>
              </w:numPr>
              <w:ind w:left="0" w:leftChars="0" w:firstLine="0" w:firstLineChars="0"/>
              <w:jc w:val="cente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restart"/>
            <w:vAlign w:val="center"/>
          </w:tcPr>
          <w:p>
            <w:pPr>
              <w:pStyle w:val="215"/>
              <w:numPr>
                <w:ilvl w:val="0"/>
                <w:numId w:val="0"/>
              </w:numPr>
              <w:jc w:val="center"/>
              <w:rPr>
                <w:rFonts w:hint="default" w:eastAsia="宋体"/>
                <w:sz w:val="18"/>
                <w:szCs w:val="18"/>
                <w:highlight w:val="none"/>
                <w:lang w:val="en-US" w:eastAsia="zh-CN"/>
              </w:rPr>
            </w:pPr>
            <w:r>
              <w:rPr>
                <w:rFonts w:hint="eastAsia"/>
                <w:sz w:val="18"/>
                <w:szCs w:val="18"/>
                <w:highlight w:val="none"/>
                <w:lang w:eastAsia="zh-CN"/>
              </w:rPr>
              <w:t>产品信息</w:t>
            </w:r>
          </w:p>
        </w:tc>
        <w:tc>
          <w:tcPr>
            <w:tcW w:w="733" w:type="pct"/>
            <w:vAlign w:val="center"/>
          </w:tcPr>
          <w:p>
            <w:pPr>
              <w:pStyle w:val="215"/>
              <w:numPr>
                <w:ilvl w:val="0"/>
                <w:numId w:val="0"/>
              </w:numPr>
              <w:jc w:val="center"/>
              <w:rPr>
                <w:sz w:val="18"/>
                <w:szCs w:val="18"/>
                <w:highlight w:val="none"/>
              </w:rPr>
            </w:pPr>
            <w:r>
              <w:rPr>
                <w:rFonts w:hint="eastAsia"/>
                <w:sz w:val="18"/>
                <w:szCs w:val="18"/>
                <w:highlight w:val="none"/>
              </w:rPr>
              <w:t>数据统计周期</w:t>
            </w:r>
          </w:p>
        </w:tc>
        <w:tc>
          <w:tcPr>
            <w:tcW w:w="3740" w:type="pct"/>
            <w:gridSpan w:val="14"/>
            <w:vAlign w:val="center"/>
          </w:tcPr>
          <w:p>
            <w:pPr>
              <w:pStyle w:val="215"/>
              <w:numPr>
                <w:ilvl w:val="0"/>
                <w:numId w:val="0"/>
              </w:numPr>
              <w:jc w:val="center"/>
              <w:rPr>
                <w:rFonts w:hint="eastAsia" w:eastAsia="宋体"/>
                <w:sz w:val="18"/>
                <w:szCs w:val="18"/>
                <w:highlight w:val="none"/>
                <w:lang w:eastAsia="zh-CN"/>
              </w:rPr>
            </w:pPr>
            <w:r>
              <w:rPr>
                <w:rFonts w:hint="eastAsia"/>
                <w:sz w:val="18"/>
                <w:szCs w:val="18"/>
                <w:highlight w:val="none"/>
                <w:u w:val="single"/>
                <w:lang w:val="en-US" w:eastAsia="zh-CN"/>
              </w:rPr>
              <w:t xml:space="preserve">    年  月  日  至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Align w:val="center"/>
          </w:tcPr>
          <w:p>
            <w:pPr>
              <w:pStyle w:val="215"/>
              <w:numPr>
                <w:ilvl w:val="0"/>
                <w:numId w:val="0"/>
              </w:numPr>
              <w:ind w:left="0" w:leftChars="0" w:firstLine="0" w:firstLineChars="0"/>
              <w:jc w:val="center"/>
              <w:rPr>
                <w:rFonts w:hint="default" w:eastAsia="宋体"/>
                <w:sz w:val="18"/>
                <w:szCs w:val="18"/>
                <w:highlight w:val="none"/>
                <w:lang w:val="en-US" w:eastAsia="zh-CN"/>
              </w:rPr>
            </w:pPr>
            <w:r>
              <w:rPr>
                <w:rFonts w:hint="eastAsia"/>
                <w:sz w:val="18"/>
                <w:szCs w:val="18"/>
                <w:highlight w:val="none"/>
                <w:lang w:eastAsia="zh-CN"/>
              </w:rPr>
              <w:t>产品名称</w:t>
            </w:r>
          </w:p>
        </w:tc>
        <w:tc>
          <w:tcPr>
            <w:tcW w:w="3740" w:type="pct"/>
            <w:gridSpan w:val="14"/>
            <w:vAlign w:val="center"/>
          </w:tcPr>
          <w:p>
            <w:pPr>
              <w:pStyle w:val="215"/>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Align w:val="center"/>
          </w:tcPr>
          <w:p>
            <w:pPr>
              <w:pStyle w:val="215"/>
              <w:numPr>
                <w:ilvl w:val="0"/>
                <w:numId w:val="0"/>
              </w:numPr>
              <w:ind w:left="0" w:leftChars="0" w:firstLine="0" w:firstLineChars="0"/>
              <w:jc w:val="center"/>
              <w:rPr>
                <w:rFonts w:hint="eastAsia"/>
                <w:sz w:val="18"/>
                <w:szCs w:val="18"/>
                <w:highlight w:val="none"/>
                <w:lang w:eastAsia="zh-CN"/>
              </w:rPr>
            </w:pPr>
            <w:r>
              <w:rPr>
                <w:rFonts w:hint="eastAsia"/>
                <w:sz w:val="18"/>
                <w:szCs w:val="18"/>
                <w:highlight w:val="none"/>
                <w:lang w:eastAsia="zh-CN"/>
              </w:rPr>
              <w:t>规格型号</w:t>
            </w:r>
          </w:p>
        </w:tc>
        <w:tc>
          <w:tcPr>
            <w:tcW w:w="622" w:type="pct"/>
            <w:gridSpan w:val="2"/>
            <w:vAlign w:val="center"/>
          </w:tcPr>
          <w:p>
            <w:pPr>
              <w:pStyle w:val="215"/>
              <w:numPr>
                <w:ilvl w:val="0"/>
                <w:numId w:val="0"/>
              </w:numPr>
              <w:ind w:left="0" w:leftChars="0" w:firstLine="0" w:firstLineChars="0"/>
              <w:rPr>
                <w:rFonts w:hint="eastAsia"/>
                <w:sz w:val="18"/>
                <w:szCs w:val="18"/>
                <w:highlight w:val="none"/>
                <w:lang w:eastAsia="zh-CN"/>
              </w:rPr>
            </w:pPr>
            <w:r>
              <w:rPr>
                <w:rFonts w:hint="eastAsia"/>
                <w:sz w:val="18"/>
                <w:szCs w:val="18"/>
                <w:highlight w:val="none"/>
                <w:lang w:val="en-US" w:eastAsia="zh-CN"/>
              </w:rPr>
              <w:t>标称功率Wp</w:t>
            </w:r>
          </w:p>
        </w:tc>
        <w:tc>
          <w:tcPr>
            <w:tcW w:w="622" w:type="pct"/>
            <w:gridSpan w:val="2"/>
            <w:vAlign w:val="center"/>
          </w:tcPr>
          <w:p>
            <w:pPr>
              <w:pStyle w:val="215"/>
              <w:numPr>
                <w:ilvl w:val="0"/>
                <w:numId w:val="0"/>
              </w:numPr>
              <w:ind w:left="0" w:leftChars="0" w:firstLine="0" w:firstLineChars="0"/>
              <w:rPr>
                <w:rFonts w:hint="eastAsia"/>
                <w:sz w:val="18"/>
                <w:szCs w:val="18"/>
                <w:highlight w:val="none"/>
                <w:lang w:eastAsia="zh-CN"/>
              </w:rPr>
            </w:pPr>
          </w:p>
        </w:tc>
        <w:tc>
          <w:tcPr>
            <w:tcW w:w="622" w:type="pct"/>
            <w:gridSpan w:val="3"/>
            <w:vAlign w:val="center"/>
          </w:tcPr>
          <w:p>
            <w:pPr>
              <w:pStyle w:val="215"/>
              <w:numPr>
                <w:ilvl w:val="0"/>
                <w:numId w:val="0"/>
              </w:numPr>
              <w:ind w:left="0" w:leftChars="0" w:firstLine="0" w:firstLineChars="0"/>
              <w:rPr>
                <w:rFonts w:hint="eastAsia"/>
                <w:sz w:val="18"/>
                <w:szCs w:val="18"/>
                <w:highlight w:val="none"/>
                <w:lang w:eastAsia="zh-CN"/>
              </w:rPr>
            </w:pPr>
            <w:r>
              <w:rPr>
                <w:rFonts w:hint="eastAsia"/>
                <w:sz w:val="18"/>
                <w:szCs w:val="18"/>
                <w:highlight w:val="none"/>
                <w:lang w:val="en-US" w:eastAsia="zh-CN"/>
              </w:rPr>
              <w:t>重量</w:t>
            </w:r>
          </w:p>
        </w:tc>
        <w:tc>
          <w:tcPr>
            <w:tcW w:w="622" w:type="pct"/>
            <w:gridSpan w:val="2"/>
            <w:vAlign w:val="center"/>
          </w:tcPr>
          <w:p>
            <w:pPr>
              <w:pStyle w:val="215"/>
              <w:numPr>
                <w:ilvl w:val="0"/>
                <w:numId w:val="0"/>
              </w:numPr>
              <w:ind w:left="0" w:leftChars="0" w:firstLine="0" w:firstLineChars="0"/>
              <w:rPr>
                <w:rFonts w:hint="eastAsia"/>
                <w:sz w:val="18"/>
                <w:szCs w:val="18"/>
                <w:highlight w:val="none"/>
                <w:lang w:eastAsia="zh-CN"/>
              </w:rPr>
            </w:pPr>
          </w:p>
        </w:tc>
        <w:tc>
          <w:tcPr>
            <w:tcW w:w="622" w:type="pct"/>
            <w:gridSpan w:val="3"/>
            <w:vAlign w:val="center"/>
          </w:tcPr>
          <w:p>
            <w:pPr>
              <w:pStyle w:val="215"/>
              <w:numPr>
                <w:ilvl w:val="0"/>
                <w:numId w:val="0"/>
              </w:numPr>
              <w:ind w:left="0" w:leftChars="0" w:firstLine="0" w:firstLineChars="0"/>
              <w:rPr>
                <w:rFonts w:hint="eastAsia"/>
                <w:sz w:val="18"/>
                <w:szCs w:val="18"/>
                <w:highlight w:val="none"/>
                <w:lang w:eastAsia="zh-CN"/>
              </w:rPr>
            </w:pPr>
            <w:r>
              <w:rPr>
                <w:rFonts w:hint="eastAsia"/>
                <w:sz w:val="18"/>
                <w:szCs w:val="18"/>
                <w:highlight w:val="none"/>
                <w:lang w:val="en-US" w:eastAsia="zh-CN"/>
              </w:rPr>
              <w:t>尺寸</w:t>
            </w:r>
          </w:p>
        </w:tc>
        <w:tc>
          <w:tcPr>
            <w:tcW w:w="629" w:type="pct"/>
            <w:gridSpan w:val="2"/>
            <w:vAlign w:val="center"/>
          </w:tcPr>
          <w:p>
            <w:pPr>
              <w:pStyle w:val="215"/>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Align w:val="center"/>
          </w:tcPr>
          <w:p>
            <w:pPr>
              <w:pStyle w:val="215"/>
              <w:numPr>
                <w:ilvl w:val="0"/>
                <w:numId w:val="0"/>
              </w:numPr>
              <w:ind w:left="0" w:leftChars="0" w:firstLine="0" w:firstLineChars="0"/>
              <w:jc w:val="center"/>
              <w:rPr>
                <w:rFonts w:hint="eastAsia"/>
                <w:sz w:val="18"/>
                <w:szCs w:val="18"/>
                <w:highlight w:val="none"/>
                <w:lang w:eastAsia="zh-CN"/>
              </w:rPr>
            </w:pPr>
            <w:r>
              <w:rPr>
                <w:rFonts w:hint="eastAsia"/>
                <w:sz w:val="18"/>
                <w:szCs w:val="18"/>
                <w:highlight w:val="none"/>
                <w:lang w:eastAsia="zh-CN"/>
              </w:rPr>
              <w:t>产品示意图</w:t>
            </w:r>
          </w:p>
        </w:tc>
        <w:tc>
          <w:tcPr>
            <w:tcW w:w="3740" w:type="pct"/>
            <w:gridSpan w:val="14"/>
            <w:vAlign w:val="center"/>
          </w:tcPr>
          <w:p>
            <w:pPr>
              <w:pStyle w:val="215"/>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5" w:type="pct"/>
            <w:vMerge w:val="continue"/>
            <w:vAlign w:val="center"/>
          </w:tcPr>
          <w:p>
            <w:pPr>
              <w:pStyle w:val="215"/>
              <w:numPr>
                <w:ilvl w:val="0"/>
                <w:numId w:val="0"/>
              </w:numPr>
              <w:jc w:val="center"/>
              <w:rPr>
                <w:sz w:val="18"/>
                <w:szCs w:val="18"/>
                <w:highlight w:val="none"/>
              </w:rPr>
            </w:pPr>
          </w:p>
        </w:tc>
        <w:tc>
          <w:tcPr>
            <w:tcW w:w="733" w:type="pct"/>
            <w:vAlign w:val="center"/>
          </w:tcPr>
          <w:p>
            <w:pPr>
              <w:pStyle w:val="215"/>
              <w:numPr>
                <w:ilvl w:val="0"/>
                <w:numId w:val="0"/>
              </w:numPr>
              <w:ind w:left="0" w:leftChars="0" w:firstLine="0" w:firstLineChars="0"/>
              <w:jc w:val="center"/>
              <w:rPr>
                <w:rFonts w:hint="eastAsia"/>
                <w:sz w:val="18"/>
                <w:szCs w:val="18"/>
                <w:highlight w:val="none"/>
                <w:lang w:eastAsia="zh-CN"/>
              </w:rPr>
            </w:pPr>
            <w:r>
              <w:rPr>
                <w:rFonts w:hint="eastAsia"/>
                <w:sz w:val="18"/>
                <w:szCs w:val="18"/>
                <w:highlight w:val="none"/>
                <w:lang w:eastAsia="zh-CN"/>
              </w:rPr>
              <w:t>产品工艺流程图</w:t>
            </w:r>
          </w:p>
        </w:tc>
        <w:tc>
          <w:tcPr>
            <w:tcW w:w="3740" w:type="pct"/>
            <w:gridSpan w:val="14"/>
            <w:vAlign w:val="center"/>
          </w:tcPr>
          <w:p>
            <w:pPr>
              <w:pStyle w:val="215"/>
              <w:numPr>
                <w:ilvl w:val="0"/>
                <w:numId w:val="0"/>
              </w:numPr>
              <w:rPr>
                <w:rFonts w:hint="eastAsia"/>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16"/>
            <w:vAlign w:val="center"/>
          </w:tcPr>
          <w:p>
            <w:pPr>
              <w:pStyle w:val="215"/>
              <w:numPr>
                <w:ilvl w:val="0"/>
                <w:numId w:val="0"/>
              </w:numPr>
              <w:jc w:val="center"/>
              <w:rPr>
                <w:rFonts w:hint="eastAsia"/>
                <w:sz w:val="18"/>
                <w:szCs w:val="18"/>
                <w:highlight w:val="none"/>
              </w:rPr>
            </w:pPr>
            <w:r>
              <w:rPr>
                <w:rFonts w:hint="eastAsia"/>
                <w:sz w:val="18"/>
                <w:szCs w:val="18"/>
                <w:highlight w:val="none"/>
                <w:lang w:val="en-US" w:eastAsia="zh-CN"/>
              </w:rPr>
              <w:t>生产 1kW组件产品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5"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项目</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消耗量</w:t>
            </w:r>
          </w:p>
        </w:tc>
        <w:tc>
          <w:tcPr>
            <w:tcW w:w="540"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单位</w:t>
            </w:r>
          </w:p>
        </w:tc>
        <w:tc>
          <w:tcPr>
            <w:tcW w:w="538" w:type="pct"/>
            <w:gridSpan w:val="2"/>
            <w:vAlign w:val="center"/>
          </w:tcPr>
          <w:p>
            <w:pPr>
              <w:pStyle w:val="215"/>
              <w:numPr>
                <w:ilvl w:val="0"/>
                <w:numId w:val="0"/>
              </w:numPr>
              <w:jc w:val="center"/>
              <w:rPr>
                <w:rFonts w:hint="default" w:eastAsia="宋体"/>
                <w:sz w:val="18"/>
                <w:szCs w:val="18"/>
                <w:highlight w:val="none"/>
                <w:lang w:val="en-US" w:eastAsia="zh-CN"/>
              </w:rPr>
            </w:pPr>
            <w:r>
              <w:rPr>
                <w:rFonts w:hint="default" w:eastAsia="宋体"/>
                <w:sz w:val="18"/>
                <w:szCs w:val="18"/>
                <w:highlight w:val="none"/>
                <w:lang w:val="en-US" w:eastAsia="zh-CN"/>
              </w:rPr>
              <w:t>总重量</w:t>
            </w:r>
          </w:p>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kg</w:t>
            </w: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材料成分</w:t>
            </w:r>
            <w:r>
              <w:rPr>
                <w:rFonts w:hint="eastAsia"/>
                <w:sz w:val="18"/>
                <w:szCs w:val="18"/>
                <w:highlight w:val="none"/>
                <w:lang w:val="en-US" w:eastAsia="zh-CN"/>
              </w:rPr>
              <w:t>及比例</w:t>
            </w: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运输方式</w:t>
            </w:r>
          </w:p>
        </w:tc>
        <w:tc>
          <w:tcPr>
            <w:tcW w:w="538" w:type="pct"/>
            <w:gridSpan w:val="2"/>
            <w:vAlign w:val="center"/>
          </w:tcPr>
          <w:p>
            <w:pPr>
              <w:pStyle w:val="215"/>
              <w:numPr>
                <w:ilvl w:val="0"/>
                <w:numId w:val="0"/>
              </w:numPr>
              <w:jc w:val="center"/>
              <w:rPr>
                <w:sz w:val="18"/>
                <w:szCs w:val="18"/>
                <w:highlight w:val="none"/>
              </w:rPr>
            </w:pPr>
            <w:r>
              <w:rPr>
                <w:rFonts w:hint="eastAsia"/>
                <w:sz w:val="18"/>
                <w:szCs w:val="18"/>
                <w:highlight w:val="none"/>
              </w:rPr>
              <w:t>运输距离</w:t>
            </w:r>
          </w:p>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km</w:t>
            </w:r>
          </w:p>
        </w:tc>
        <w:tc>
          <w:tcPr>
            <w:tcW w:w="547"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val="en-US" w:eastAsia="zh-CN"/>
              </w:rPr>
              <w:t>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restart"/>
            <w:vAlign w:val="center"/>
          </w:tcPr>
          <w:p>
            <w:pPr>
              <w:pStyle w:val="215"/>
              <w:numPr>
                <w:ilvl w:val="0"/>
                <w:numId w:val="0"/>
              </w:numPr>
              <w:rPr>
                <w:rFonts w:hint="eastAsia"/>
                <w:sz w:val="18"/>
                <w:szCs w:val="18"/>
                <w:highlight w:val="none"/>
              </w:rPr>
            </w:pPr>
            <w:r>
              <w:rPr>
                <w:rFonts w:hint="eastAsia"/>
                <w:sz w:val="18"/>
                <w:szCs w:val="18"/>
                <w:highlight w:val="none"/>
              </w:rPr>
              <w:t>资源消耗</w:t>
            </w: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电池片</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片</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7"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玻璃</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val="en-US" w:eastAsia="zh-CN"/>
              </w:rPr>
              <w:t>m</w:t>
            </w:r>
            <w:r>
              <w:rPr>
                <w:rFonts w:hint="eastAsia"/>
                <w:sz w:val="18"/>
                <w:szCs w:val="18"/>
                <w:highlight w:val="none"/>
                <w:vertAlign w:val="superscript"/>
                <w:lang w:val="en-US" w:eastAsia="zh-CN"/>
              </w:rPr>
              <w:t>2</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7"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EVA</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gridSpan w:val="2"/>
            <w:vAlign w:val="center"/>
          </w:tcPr>
          <w:p>
            <w:pPr>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m</w:t>
            </w:r>
            <w:r>
              <w:rPr>
                <w:rFonts w:hint="eastAsia" w:ascii="宋体" w:hAnsi="宋体" w:eastAsia="宋体" w:cs="宋体"/>
                <w:sz w:val="18"/>
                <w:szCs w:val="18"/>
                <w:highlight w:val="none"/>
                <w:vertAlign w:val="superscript"/>
                <w:lang w:val="en-US" w:eastAsia="zh-CN"/>
              </w:rPr>
              <w:t>2</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7"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POE</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gridSpan w:val="2"/>
            <w:vAlign w:val="center"/>
          </w:tcPr>
          <w:p>
            <w:pPr>
              <w:numPr>
                <w:ilvl w:val="0"/>
                <w:numId w:val="0"/>
              </w:numPr>
              <w:ind w:left="0" w:leftChars="0" w:firstLine="0" w:firstLineChars="0"/>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m</w:t>
            </w:r>
            <w:r>
              <w:rPr>
                <w:rFonts w:hint="eastAsia" w:ascii="宋体" w:hAnsi="宋体" w:eastAsia="宋体" w:cs="宋体"/>
                <w:sz w:val="18"/>
                <w:szCs w:val="18"/>
                <w:highlight w:val="none"/>
                <w:vertAlign w:val="superscript"/>
                <w:lang w:val="en-US" w:eastAsia="zh-CN"/>
              </w:rPr>
              <w:t>2</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7"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接线盒</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3"/>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7"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bl>
    <w:p>
      <w:pPr>
        <w:rPr>
          <w:highlight w:val="none"/>
        </w:rPr>
      </w:pPr>
    </w:p>
    <w:p>
      <w:pPr>
        <w:rPr>
          <w:highlight w:val="none"/>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eastAsia="黑体"/>
          <w:highlight w:val="none"/>
          <w:lang w:val="en-US" w:eastAsia="zh-CN"/>
        </w:rPr>
      </w:pPr>
      <w:r>
        <w:rPr>
          <w:rFonts w:hint="eastAsia" w:ascii="黑体" w:hAnsi="黑体" w:eastAsia="黑体" w:cs="黑体"/>
          <w:highlight w:val="none"/>
        </w:rPr>
        <w:t>表A.1  现场数据收集表</w:t>
      </w:r>
      <w:r>
        <w:rPr>
          <w:rFonts w:hint="eastAsia" w:ascii="宋体" w:hAnsi="宋体" w:eastAsia="宋体" w:cs="宋体"/>
          <w:highlight w:val="none"/>
          <w:lang w:eastAsia="zh-CN"/>
        </w:rPr>
        <w:t>（续）</w:t>
      </w:r>
    </w:p>
    <w:tbl>
      <w:tblPr>
        <w:tblStyle w:val="29"/>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402"/>
        <w:gridCol w:w="953"/>
        <w:gridCol w:w="1033"/>
        <w:gridCol w:w="1029"/>
        <w:gridCol w:w="1029"/>
        <w:gridCol w:w="346"/>
        <w:gridCol w:w="683"/>
        <w:gridCol w:w="693"/>
        <w:gridCol w:w="337"/>
        <w:gridCol w:w="10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pct"/>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项目</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消耗量</w:t>
            </w: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单位</w:t>
            </w:r>
          </w:p>
        </w:tc>
        <w:tc>
          <w:tcPr>
            <w:tcW w:w="538" w:type="pct"/>
            <w:vAlign w:val="center"/>
          </w:tcPr>
          <w:p>
            <w:pPr>
              <w:pStyle w:val="215"/>
              <w:numPr>
                <w:ilvl w:val="0"/>
                <w:numId w:val="0"/>
              </w:numPr>
              <w:jc w:val="center"/>
              <w:rPr>
                <w:rFonts w:hint="default" w:eastAsia="宋体"/>
                <w:sz w:val="18"/>
                <w:szCs w:val="18"/>
                <w:highlight w:val="none"/>
                <w:lang w:val="en-US" w:eastAsia="zh-CN"/>
              </w:rPr>
            </w:pPr>
            <w:r>
              <w:rPr>
                <w:rFonts w:hint="default" w:eastAsia="宋体"/>
                <w:sz w:val="18"/>
                <w:szCs w:val="18"/>
                <w:highlight w:val="none"/>
                <w:lang w:val="en-US" w:eastAsia="zh-CN"/>
              </w:rPr>
              <w:t>总重量</w:t>
            </w:r>
          </w:p>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材料成分</w:t>
            </w:r>
            <w:r>
              <w:rPr>
                <w:rFonts w:hint="eastAsia"/>
                <w:sz w:val="18"/>
                <w:szCs w:val="18"/>
                <w:highlight w:val="none"/>
                <w:lang w:val="en-US" w:eastAsia="zh-CN"/>
              </w:rPr>
              <w:t>及比例</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运输方式</w:t>
            </w:r>
          </w:p>
        </w:tc>
        <w:tc>
          <w:tcPr>
            <w:tcW w:w="538" w:type="pct"/>
            <w:gridSpan w:val="2"/>
            <w:vAlign w:val="center"/>
          </w:tcPr>
          <w:p>
            <w:pPr>
              <w:pStyle w:val="215"/>
              <w:numPr>
                <w:ilvl w:val="0"/>
                <w:numId w:val="0"/>
              </w:numPr>
              <w:jc w:val="center"/>
              <w:rPr>
                <w:sz w:val="18"/>
                <w:szCs w:val="18"/>
                <w:highlight w:val="none"/>
              </w:rPr>
            </w:pPr>
            <w:r>
              <w:rPr>
                <w:rFonts w:hint="eastAsia"/>
                <w:sz w:val="18"/>
                <w:szCs w:val="18"/>
                <w:highlight w:val="none"/>
              </w:rPr>
              <w:t>运输距离</w:t>
            </w:r>
          </w:p>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km</w:t>
            </w: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val="en-US" w:eastAsia="zh-CN"/>
              </w:rPr>
              <w:t>供应商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5" w:type="pct"/>
            <w:vMerge w:val="restart"/>
            <w:vAlign w:val="center"/>
          </w:tcPr>
          <w:p>
            <w:pPr>
              <w:pStyle w:val="215"/>
              <w:numPr>
                <w:ilvl w:val="0"/>
                <w:numId w:val="0"/>
              </w:numPr>
              <w:rPr>
                <w:rFonts w:hint="eastAsia"/>
                <w:sz w:val="18"/>
                <w:szCs w:val="18"/>
                <w:highlight w:val="none"/>
              </w:rPr>
            </w:pPr>
            <w:r>
              <w:rPr>
                <w:rFonts w:hint="eastAsia"/>
                <w:sz w:val="18"/>
                <w:szCs w:val="18"/>
                <w:highlight w:val="none"/>
              </w:rPr>
              <w:t>资源消耗</w:t>
            </w: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焊带</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边框</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包材（托盘</w:t>
            </w:r>
            <w:r>
              <w:rPr>
                <w:rFonts w:hint="eastAsia"/>
                <w:sz w:val="18"/>
                <w:szCs w:val="18"/>
                <w:highlight w:val="none"/>
                <w:lang w:eastAsia="zh-CN"/>
              </w:rPr>
              <w:t>、</w:t>
            </w:r>
            <w:r>
              <w:rPr>
                <w:rFonts w:hint="eastAsia"/>
                <w:sz w:val="18"/>
                <w:szCs w:val="18"/>
                <w:highlight w:val="none"/>
              </w:rPr>
              <w:t>包装箱</w:t>
            </w:r>
            <w:r>
              <w:rPr>
                <w:rFonts w:hint="eastAsia"/>
                <w:sz w:val="18"/>
                <w:szCs w:val="18"/>
                <w:highlight w:val="none"/>
                <w:lang w:eastAsia="zh-CN"/>
              </w:rPr>
              <w:t>、</w:t>
            </w:r>
            <w:r>
              <w:rPr>
                <w:rFonts w:hint="eastAsia"/>
                <w:sz w:val="18"/>
                <w:szCs w:val="18"/>
                <w:highlight w:val="none"/>
              </w:rPr>
              <w:t>打包带</w:t>
            </w:r>
            <w:r>
              <w:rPr>
                <w:rFonts w:hint="eastAsia"/>
                <w:sz w:val="18"/>
                <w:szCs w:val="18"/>
                <w:highlight w:val="none"/>
                <w:lang w:eastAsia="zh-CN"/>
              </w:rPr>
              <w:t>、</w:t>
            </w:r>
            <w:r>
              <w:rPr>
                <w:rFonts w:hint="eastAsia"/>
                <w:sz w:val="18"/>
                <w:szCs w:val="18"/>
                <w:highlight w:val="none"/>
              </w:rPr>
              <w:t>缠绕膜等）</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灌封胶</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ascii="宋体" w:hAnsi="Times New Roman" w:eastAsia="宋体" w:cs="Times New Roman"/>
                <w:kern w:val="21"/>
                <w:sz w:val="18"/>
                <w:szCs w:val="18"/>
                <w:highlight w:val="none"/>
                <w:lang w:val="en-US" w:eastAsia="zh-CN" w:bidi="ar-SA"/>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密封胶</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ascii="宋体" w:hAnsi="Times New Roman" w:eastAsia="宋体" w:cs="Times New Roman"/>
                <w:kern w:val="21"/>
                <w:sz w:val="18"/>
                <w:szCs w:val="18"/>
                <w:highlight w:val="none"/>
                <w:lang w:val="en-US" w:eastAsia="zh-CN" w:bidi="ar-SA"/>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助焊剂</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ascii="宋体" w:hAnsi="Times New Roman" w:eastAsia="宋体" w:cs="Times New Roman"/>
                <w:kern w:val="21"/>
                <w:sz w:val="18"/>
                <w:szCs w:val="18"/>
                <w:highlight w:val="none"/>
                <w:lang w:val="en-US" w:eastAsia="zh-CN" w:bidi="ar-SA"/>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水</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t</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restar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能源消耗</w:t>
            </w: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电</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kWh</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lang w:eastAsia="zh-CN"/>
              </w:rPr>
              <w:t>—</w:t>
            </w: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restar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温室气体排放</w:t>
            </w: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二氧化碳</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t</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ind w:left="0" w:leftChars="0" w:firstLine="0" w:firstLineChars="0"/>
              <w:jc w:val="cente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sz w:val="18"/>
                <w:szCs w:val="18"/>
                <w:highlight w:val="none"/>
              </w:rPr>
            </w:pPr>
            <w:r>
              <w:rPr>
                <w:rFonts w:hint="eastAsia"/>
                <w:sz w:val="18"/>
                <w:szCs w:val="18"/>
                <w:highlight w:val="none"/>
              </w:rPr>
              <w:t>...</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sz w:val="18"/>
                <w:szCs w:val="18"/>
                <w:highlight w:val="none"/>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38"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6"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25" w:type="pct"/>
            <w:vMerge w:val="restar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废弃物</w:t>
            </w:r>
          </w:p>
        </w:tc>
        <w:tc>
          <w:tcPr>
            <w:tcW w:w="733" w:type="pct"/>
            <w:vAlign w:val="center"/>
          </w:tcPr>
          <w:p>
            <w:pPr>
              <w:pStyle w:val="215"/>
              <w:numPr>
                <w:ilvl w:val="0"/>
                <w:numId w:val="0"/>
              </w:numPr>
              <w:ind w:left="0" w:leftChars="0" w:firstLine="0" w:firstLineChars="0"/>
              <w:jc w:val="center"/>
              <w:rPr>
                <w:rFonts w:hint="eastAsia" w:cs="Times New Roman"/>
                <w:kern w:val="21"/>
                <w:sz w:val="18"/>
                <w:szCs w:val="18"/>
                <w:highlight w:val="none"/>
                <w:lang w:val="en-US" w:eastAsia="zh-CN" w:bidi="ar-SA"/>
              </w:rPr>
            </w:pPr>
            <w:r>
              <w:rPr>
                <w:rFonts w:hint="eastAsia"/>
                <w:sz w:val="18"/>
                <w:szCs w:val="18"/>
                <w:highlight w:val="none"/>
                <w:lang w:eastAsia="zh-CN"/>
              </w:rPr>
              <w:t>项目</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消耗量</w:t>
            </w:r>
          </w:p>
        </w:tc>
        <w:tc>
          <w:tcPr>
            <w:tcW w:w="540" w:type="pct"/>
            <w:vAlign w:val="center"/>
          </w:tcPr>
          <w:p>
            <w:pPr>
              <w:pStyle w:val="215"/>
              <w:numPr>
                <w:ilvl w:val="0"/>
                <w:numId w:val="0"/>
              </w:numPr>
              <w:ind w:left="0" w:leftChars="0" w:firstLine="0" w:firstLineChars="0"/>
              <w:jc w:val="center"/>
              <w:rPr>
                <w:rFonts w:hint="eastAsia"/>
                <w:sz w:val="18"/>
                <w:szCs w:val="18"/>
                <w:highlight w:val="none"/>
              </w:rPr>
            </w:pPr>
            <w:r>
              <w:rPr>
                <w:rFonts w:hint="eastAsia"/>
                <w:sz w:val="18"/>
                <w:szCs w:val="18"/>
                <w:highlight w:val="none"/>
              </w:rPr>
              <w:t>单位</w:t>
            </w:r>
          </w:p>
        </w:tc>
        <w:tc>
          <w:tcPr>
            <w:tcW w:w="538" w:type="pct"/>
            <w:vAlign w:val="center"/>
          </w:tcPr>
          <w:p>
            <w:pPr>
              <w:pStyle w:val="215"/>
              <w:numPr>
                <w:ilvl w:val="0"/>
                <w:numId w:val="0"/>
              </w:numPr>
              <w:jc w:val="center"/>
              <w:rPr>
                <w:rFonts w:hint="default" w:eastAsia="宋体"/>
                <w:sz w:val="18"/>
                <w:szCs w:val="18"/>
                <w:highlight w:val="none"/>
                <w:lang w:val="en-US" w:eastAsia="zh-CN"/>
              </w:rPr>
            </w:pPr>
            <w:r>
              <w:rPr>
                <w:rFonts w:hint="default" w:eastAsia="宋体"/>
                <w:sz w:val="18"/>
                <w:szCs w:val="18"/>
                <w:highlight w:val="none"/>
                <w:lang w:val="en-US" w:eastAsia="zh-CN"/>
              </w:rPr>
              <w:t>总重量</w:t>
            </w:r>
          </w:p>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default" w:eastAsia="宋体"/>
                <w:sz w:val="18"/>
                <w:szCs w:val="18"/>
                <w:highlight w:val="none"/>
                <w:lang w:val="en-US" w:eastAsia="zh-CN"/>
              </w:rPr>
              <w:t>kg</w:t>
            </w:r>
          </w:p>
        </w:tc>
        <w:tc>
          <w:tcPr>
            <w:tcW w:w="719"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运输方式</w:t>
            </w:r>
          </w:p>
        </w:tc>
        <w:tc>
          <w:tcPr>
            <w:tcW w:w="719" w:type="pct"/>
            <w:gridSpan w:val="2"/>
            <w:vAlign w:val="center"/>
          </w:tcPr>
          <w:p>
            <w:pPr>
              <w:pStyle w:val="215"/>
              <w:numPr>
                <w:ilvl w:val="0"/>
                <w:numId w:val="0"/>
              </w:numPr>
              <w:jc w:val="center"/>
              <w:rPr>
                <w:sz w:val="18"/>
                <w:szCs w:val="18"/>
                <w:highlight w:val="none"/>
              </w:rPr>
            </w:pPr>
            <w:r>
              <w:rPr>
                <w:rFonts w:hint="eastAsia"/>
                <w:sz w:val="18"/>
                <w:szCs w:val="18"/>
                <w:highlight w:val="none"/>
              </w:rPr>
              <w:t>运输距离</w:t>
            </w:r>
          </w:p>
          <w:p>
            <w:pPr>
              <w:pStyle w:val="215"/>
              <w:numPr>
                <w:ilvl w:val="0"/>
                <w:numId w:val="0"/>
              </w:numPr>
              <w:ind w:left="0" w:leftChars="0" w:firstLine="0" w:firstLineChars="0"/>
              <w:jc w:val="center"/>
              <w:rPr>
                <w:rFonts w:hint="eastAsia"/>
                <w:sz w:val="18"/>
                <w:szCs w:val="18"/>
                <w:highlight w:val="none"/>
                <w:lang w:val="en-US" w:eastAsia="zh-CN"/>
              </w:rPr>
            </w:pPr>
            <w:r>
              <w:rPr>
                <w:rFonts w:hint="eastAsia"/>
                <w:sz w:val="18"/>
                <w:szCs w:val="18"/>
                <w:highlight w:val="none"/>
              </w:rPr>
              <w:t>km</w:t>
            </w:r>
          </w:p>
        </w:tc>
        <w:tc>
          <w:tcPr>
            <w:tcW w:w="724" w:type="pct"/>
            <w:gridSpan w:val="2"/>
            <w:vAlign w:val="center"/>
          </w:tcPr>
          <w:p>
            <w:pPr>
              <w:pStyle w:val="215"/>
              <w:numPr>
                <w:ilvl w:val="0"/>
                <w:numId w:val="0"/>
              </w:numPr>
              <w:ind w:left="0" w:leftChars="0" w:firstLine="0" w:firstLineChars="0"/>
              <w:jc w:val="center"/>
              <w:rPr>
                <w:rFonts w:hint="eastAsia"/>
                <w:sz w:val="18"/>
                <w:szCs w:val="18"/>
                <w:highlight w:val="none"/>
                <w:lang w:val="en-US" w:eastAsia="zh-CN"/>
              </w:rPr>
            </w:pPr>
            <w:r>
              <w:rPr>
                <w:rFonts w:hint="eastAsia"/>
                <w:sz w:val="18"/>
                <w:szCs w:val="18"/>
                <w:highlight w:val="none"/>
                <w:lang w:val="en-US" w:eastAsia="zh-CN"/>
              </w:rPr>
              <w:t>处置方式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25" w:type="pct"/>
            <w:vMerge w:val="continue"/>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cs="Times New Roman"/>
                <w:kern w:val="21"/>
                <w:sz w:val="18"/>
                <w:szCs w:val="18"/>
                <w:highlight w:val="none"/>
                <w:lang w:val="en-US" w:eastAsia="zh-CN" w:bidi="ar-SA"/>
              </w:rPr>
              <w:t>废弃包装</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kg</w:t>
            </w: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19"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19"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24"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25" w:type="pct"/>
            <w:vMerge w:val="continue"/>
            <w:vAlign w:val="center"/>
          </w:tcPr>
          <w:p>
            <w:pPr>
              <w:pStyle w:val="215"/>
              <w:numPr>
                <w:ilvl w:val="0"/>
                <w:numId w:val="0"/>
              </w:numPr>
              <w:ind w:left="0" w:leftChars="0" w:firstLine="0" w:firstLineChars="0"/>
              <w:jc w:val="center"/>
              <w:rPr>
                <w:rFonts w:hint="eastAsia"/>
                <w:sz w:val="18"/>
                <w:szCs w:val="18"/>
                <w:highlight w:val="none"/>
              </w:rPr>
            </w:pPr>
          </w:p>
        </w:tc>
        <w:tc>
          <w:tcPr>
            <w:tcW w:w="733"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r>
              <w:rPr>
                <w:rFonts w:hint="eastAsia"/>
                <w:sz w:val="18"/>
                <w:szCs w:val="18"/>
                <w:highlight w:val="none"/>
              </w:rPr>
              <w:t>...</w:t>
            </w:r>
          </w:p>
        </w:tc>
        <w:tc>
          <w:tcPr>
            <w:tcW w:w="49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540" w:type="pct"/>
            <w:vAlign w:val="center"/>
          </w:tcPr>
          <w:p>
            <w:pPr>
              <w:pStyle w:val="215"/>
              <w:numPr>
                <w:ilvl w:val="0"/>
                <w:numId w:val="0"/>
              </w:numPr>
              <w:ind w:left="0" w:leftChars="0" w:firstLine="0" w:firstLineChars="0"/>
              <w:jc w:val="center"/>
              <w:rPr>
                <w:rFonts w:hint="eastAsia"/>
                <w:sz w:val="18"/>
                <w:szCs w:val="18"/>
                <w:highlight w:val="none"/>
              </w:rPr>
            </w:pPr>
          </w:p>
        </w:tc>
        <w:tc>
          <w:tcPr>
            <w:tcW w:w="538" w:type="pct"/>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19"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19"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c>
          <w:tcPr>
            <w:tcW w:w="724" w:type="pct"/>
            <w:gridSpan w:val="2"/>
            <w:vAlign w:val="center"/>
          </w:tcPr>
          <w:p>
            <w:pPr>
              <w:pStyle w:val="215"/>
              <w:numPr>
                <w:ilvl w:val="0"/>
                <w:numId w:val="0"/>
              </w:numPr>
              <w:ind w:left="0" w:leftChars="0" w:firstLine="0" w:firstLineChars="0"/>
              <w:jc w:val="center"/>
              <w:rPr>
                <w:rFonts w:hint="eastAsia" w:ascii="宋体" w:hAnsi="Times New Roman" w:eastAsia="宋体" w:cs="Times New Roman"/>
                <w:kern w:val="21"/>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00" w:type="pct"/>
            <w:gridSpan w:val="11"/>
            <w:vAlign w:val="center"/>
          </w:tcPr>
          <w:p>
            <w:pPr>
              <w:pStyle w:val="183"/>
              <w:rPr>
                <w:rFonts w:hint="eastAsia" w:ascii="宋体" w:hAnsi="Times New Roman" w:eastAsia="宋体" w:cs="Times New Roman"/>
                <w:kern w:val="21"/>
                <w:sz w:val="18"/>
                <w:szCs w:val="18"/>
                <w:highlight w:val="none"/>
                <w:lang w:val="en-US" w:eastAsia="zh-CN" w:bidi="ar-SA"/>
              </w:rPr>
            </w:pPr>
            <w:r>
              <w:rPr>
                <w:rFonts w:hint="eastAsia"/>
                <w:highlight w:val="none"/>
              </w:rPr>
              <w:t>消耗的资源、能源以及温室气体排放等项目以厂家实际生产情况为准</w:t>
            </w:r>
          </w:p>
        </w:tc>
      </w:tr>
    </w:tbl>
    <w:p>
      <w:pPr>
        <w:pStyle w:val="215"/>
        <w:numPr>
          <w:ilvl w:val="0"/>
          <w:numId w:val="0"/>
        </w:numPr>
        <w:ind w:firstLine="420" w:firstLineChars="200"/>
        <w:rPr>
          <w:highlight w:val="none"/>
        </w:rPr>
      </w:pPr>
    </w:p>
    <w:p>
      <w:pPr>
        <w:pStyle w:val="215"/>
        <w:numPr>
          <w:ilvl w:val="0"/>
          <w:numId w:val="0"/>
        </w:numPr>
        <w:ind w:firstLine="420" w:firstLineChars="200"/>
        <w:rPr>
          <w:highlight w:val="none"/>
        </w:rPr>
      </w:pPr>
    </w:p>
    <w:p>
      <w:pPr>
        <w:pStyle w:val="215"/>
        <w:numPr>
          <w:ilvl w:val="0"/>
          <w:numId w:val="0"/>
        </w:numPr>
        <w:ind w:firstLine="420" w:firstLineChars="200"/>
        <w:rPr>
          <w:highlight w:val="none"/>
        </w:rPr>
      </w:pPr>
    </w:p>
    <w:p>
      <w:pPr>
        <w:pStyle w:val="178"/>
        <w:numPr>
          <w:ilvl w:val="0"/>
          <w:numId w:val="0"/>
        </w:numPr>
        <w:rPr>
          <w:highlight w:val="none"/>
        </w:rPr>
        <w:sectPr>
          <w:headerReference r:id="rId15" w:type="default"/>
          <w:footerReference r:id="rId17" w:type="default"/>
          <w:headerReference r:id="rId16" w:type="even"/>
          <w:footerReference r:id="rId18" w:type="even"/>
          <w:pgSz w:w="11906" w:h="16838"/>
          <w:pgMar w:top="567" w:right="1134" w:bottom="1134" w:left="1134" w:header="1418" w:footer="1134" w:gutter="284"/>
          <w:cols w:space="425" w:num="1"/>
          <w:formProt w:val="0"/>
          <w:docGrid w:linePitch="312" w:charSpace="0"/>
        </w:sectPr>
      </w:pPr>
    </w:p>
    <w:p>
      <w:pPr>
        <w:pStyle w:val="79"/>
        <w:spacing w:before="60" w:after="120"/>
        <w:rPr>
          <w:highlight w:val="none"/>
        </w:rPr>
      </w:pPr>
      <w:bookmarkStart w:id="64" w:name="_Toc27333"/>
      <w:bookmarkStart w:id="65" w:name="_Toc407"/>
      <w:r>
        <w:rPr>
          <w:highlight w:val="none"/>
        </w:rPr>
        <w:br w:type="textWrapping"/>
      </w:r>
      <w:bookmarkStart w:id="66" w:name="_Toc79504517"/>
      <w:r>
        <w:rPr>
          <w:rFonts w:hint="eastAsia"/>
          <w:highlight w:val="none"/>
        </w:rPr>
        <w:t>（资料性）</w:t>
      </w:r>
      <w:r>
        <w:rPr>
          <w:highlight w:val="none"/>
        </w:rPr>
        <w:br w:type="textWrapping"/>
      </w:r>
      <w:bookmarkEnd w:id="64"/>
      <w:bookmarkEnd w:id="66"/>
      <w:r>
        <w:rPr>
          <w:rFonts w:hint="eastAsia"/>
          <w:highlight w:val="none"/>
        </w:rPr>
        <w:t>背景数据收集</w:t>
      </w:r>
      <w:bookmarkEnd w:id="65"/>
    </w:p>
    <w:p>
      <w:pPr>
        <w:pStyle w:val="215"/>
        <w:numPr>
          <w:ilvl w:val="0"/>
          <w:numId w:val="0"/>
        </w:numPr>
        <w:spacing w:line="240" w:lineRule="auto"/>
        <w:ind w:firstLine="420" w:firstLineChars="200"/>
        <w:rPr>
          <w:highlight w:val="none"/>
        </w:rPr>
      </w:pPr>
      <w:bookmarkStart w:id="67" w:name="_Toc79504518"/>
      <w:bookmarkStart w:id="68" w:name="_Toc3369"/>
      <w:r>
        <w:rPr>
          <w:rFonts w:hint="eastAsia"/>
          <w:highlight w:val="none"/>
        </w:rPr>
        <w:t>背景数据采集表见表B.1。</w:t>
      </w:r>
    </w:p>
    <w:p>
      <w:pPr>
        <w:pStyle w:val="215"/>
        <w:numPr>
          <w:ilvl w:val="0"/>
          <w:numId w:val="0"/>
        </w:numPr>
        <w:spacing w:before="120" w:beforeLines="50" w:after="120" w:afterLines="50" w:line="240" w:lineRule="auto"/>
        <w:jc w:val="center"/>
        <w:rPr>
          <w:highlight w:val="none"/>
        </w:rPr>
      </w:pPr>
      <w:r>
        <w:rPr>
          <w:rFonts w:hint="eastAsia" w:ascii="黑体" w:hAnsi="黑体" w:eastAsia="黑体" w:cs="黑体"/>
          <w:highlight w:val="none"/>
        </w:rPr>
        <w:t>表B.1  背景数据收集表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537"/>
        <w:gridCol w:w="1083"/>
        <w:gridCol w:w="1083"/>
        <w:gridCol w:w="1410"/>
        <w:gridCol w:w="1247"/>
        <w:gridCol w:w="1247"/>
        <w:gridCol w:w="1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48" w:type="dxa"/>
            <w:gridSpan w:val="2"/>
            <w:vAlign w:val="center"/>
          </w:tcPr>
          <w:p>
            <w:pPr>
              <w:pStyle w:val="215"/>
              <w:numPr>
                <w:ilvl w:val="0"/>
                <w:numId w:val="0"/>
              </w:numPr>
              <w:jc w:val="center"/>
              <w:rPr>
                <w:rFonts w:hint="eastAsia"/>
                <w:highlight w:val="none"/>
              </w:rPr>
            </w:pPr>
            <w:r>
              <w:rPr>
                <w:rFonts w:hint="eastAsia"/>
                <w:highlight w:val="none"/>
              </w:rPr>
              <w:t>背景数据</w:t>
            </w:r>
          </w:p>
        </w:tc>
        <w:tc>
          <w:tcPr>
            <w:tcW w:w="1083" w:type="dxa"/>
            <w:vAlign w:val="center"/>
          </w:tcPr>
          <w:p>
            <w:pPr>
              <w:pStyle w:val="215"/>
              <w:numPr>
                <w:ilvl w:val="0"/>
                <w:numId w:val="0"/>
              </w:numPr>
              <w:ind w:left="0" w:leftChars="0" w:firstLine="0" w:firstLineChars="0"/>
              <w:jc w:val="center"/>
              <w:rPr>
                <w:rFonts w:hint="eastAsia" w:ascii="宋体" w:hAnsi="Times New Roman" w:eastAsia="宋体" w:cs="Times New Roman"/>
                <w:kern w:val="21"/>
                <w:sz w:val="21"/>
                <w:highlight w:val="none"/>
                <w:lang w:val="en-US" w:eastAsia="zh-CN" w:bidi="ar-SA"/>
              </w:rPr>
            </w:pPr>
            <w:r>
              <w:rPr>
                <w:rFonts w:hint="eastAsia"/>
                <w:highlight w:val="none"/>
                <w:lang w:eastAsia="zh-CN"/>
              </w:rPr>
              <w:t>二氧化碳当量</w:t>
            </w:r>
          </w:p>
        </w:tc>
        <w:tc>
          <w:tcPr>
            <w:tcW w:w="1083" w:type="dxa"/>
            <w:vAlign w:val="center"/>
          </w:tcPr>
          <w:p>
            <w:pPr>
              <w:pStyle w:val="215"/>
              <w:numPr>
                <w:ilvl w:val="0"/>
                <w:numId w:val="0"/>
              </w:numPr>
              <w:ind w:left="0" w:leftChars="0" w:firstLine="0" w:firstLineChars="0"/>
              <w:jc w:val="center"/>
              <w:rPr>
                <w:rFonts w:ascii="宋体" w:hAnsi="Times New Roman" w:eastAsia="宋体" w:cs="Times New Roman"/>
                <w:kern w:val="21"/>
                <w:sz w:val="21"/>
                <w:highlight w:val="none"/>
                <w:lang w:val="en-US" w:eastAsia="zh-CN" w:bidi="ar-SA"/>
              </w:rPr>
            </w:pPr>
            <w:r>
              <w:rPr>
                <w:rFonts w:hint="eastAsia"/>
                <w:highlight w:val="none"/>
              </w:rPr>
              <w:t>数据来源</w:t>
            </w:r>
          </w:p>
        </w:tc>
        <w:tc>
          <w:tcPr>
            <w:tcW w:w="1410" w:type="dxa"/>
            <w:vAlign w:val="center"/>
          </w:tcPr>
          <w:p>
            <w:pPr>
              <w:pStyle w:val="215"/>
              <w:numPr>
                <w:ilvl w:val="0"/>
                <w:numId w:val="0"/>
              </w:numPr>
              <w:ind w:left="0" w:leftChars="0" w:firstLine="0" w:firstLineChars="0"/>
              <w:jc w:val="center"/>
              <w:rPr>
                <w:rFonts w:ascii="宋体" w:hAnsi="Times New Roman" w:eastAsia="宋体" w:cs="Times New Roman"/>
                <w:kern w:val="21"/>
                <w:sz w:val="21"/>
                <w:highlight w:val="none"/>
                <w:lang w:val="en-US" w:eastAsia="zh-CN" w:bidi="ar-SA"/>
              </w:rPr>
            </w:pPr>
            <w:r>
              <w:rPr>
                <w:rFonts w:hint="eastAsia"/>
                <w:highlight w:val="none"/>
              </w:rPr>
              <w:t>数据获取方式</w:t>
            </w:r>
          </w:p>
        </w:tc>
        <w:tc>
          <w:tcPr>
            <w:tcW w:w="1247" w:type="dxa"/>
            <w:vAlign w:val="center"/>
          </w:tcPr>
          <w:p>
            <w:pPr>
              <w:pStyle w:val="215"/>
              <w:numPr>
                <w:ilvl w:val="0"/>
                <w:numId w:val="0"/>
              </w:numPr>
              <w:ind w:left="0" w:leftChars="0" w:firstLine="0" w:firstLineChars="0"/>
              <w:jc w:val="center"/>
              <w:rPr>
                <w:rFonts w:ascii="宋体" w:hAnsi="Times New Roman" w:eastAsia="宋体" w:cs="Times New Roman"/>
                <w:kern w:val="21"/>
                <w:sz w:val="21"/>
                <w:highlight w:val="none"/>
                <w:lang w:val="en-US" w:eastAsia="zh-CN" w:bidi="ar-SA"/>
              </w:rPr>
            </w:pPr>
            <w:r>
              <w:rPr>
                <w:rFonts w:hint="eastAsia"/>
                <w:highlight w:val="none"/>
              </w:rPr>
              <w:t>时间代表性</w:t>
            </w:r>
          </w:p>
        </w:tc>
        <w:tc>
          <w:tcPr>
            <w:tcW w:w="1247" w:type="dxa"/>
            <w:vAlign w:val="center"/>
          </w:tcPr>
          <w:p>
            <w:pPr>
              <w:pStyle w:val="215"/>
              <w:numPr>
                <w:ilvl w:val="0"/>
                <w:numId w:val="0"/>
              </w:numPr>
              <w:ind w:left="0" w:leftChars="0" w:firstLine="0" w:firstLineChars="0"/>
              <w:jc w:val="center"/>
              <w:rPr>
                <w:rFonts w:ascii="宋体" w:hAnsi="Times New Roman" w:eastAsia="宋体" w:cs="Times New Roman"/>
                <w:kern w:val="21"/>
                <w:sz w:val="21"/>
                <w:highlight w:val="none"/>
                <w:lang w:val="en-US" w:eastAsia="zh-CN" w:bidi="ar-SA"/>
              </w:rPr>
            </w:pPr>
            <w:r>
              <w:rPr>
                <w:rFonts w:hint="eastAsia"/>
                <w:highlight w:val="none"/>
              </w:rPr>
              <w:t>地域代表性</w:t>
            </w:r>
          </w:p>
        </w:tc>
        <w:tc>
          <w:tcPr>
            <w:tcW w:w="1248" w:type="dxa"/>
            <w:vAlign w:val="center"/>
          </w:tcPr>
          <w:p>
            <w:pPr>
              <w:pStyle w:val="215"/>
              <w:numPr>
                <w:ilvl w:val="0"/>
                <w:numId w:val="0"/>
              </w:numPr>
              <w:ind w:left="0" w:leftChars="0" w:firstLine="0" w:firstLineChars="0"/>
              <w:jc w:val="center"/>
              <w:rPr>
                <w:rFonts w:ascii="宋体" w:hAnsi="Times New Roman" w:eastAsia="宋体" w:cs="Times New Roman"/>
                <w:kern w:val="21"/>
                <w:sz w:val="21"/>
                <w:highlight w:val="none"/>
                <w:lang w:val="en-US" w:eastAsia="zh-CN" w:bidi="ar-SA"/>
              </w:rPr>
            </w:pPr>
            <w:r>
              <w:rPr>
                <w:rFonts w:hint="eastAsia"/>
                <w:highlight w:val="none"/>
              </w:rPr>
              <w:t>技术代表性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vAlign w:val="center"/>
          </w:tcPr>
          <w:p>
            <w:pPr>
              <w:pStyle w:val="215"/>
              <w:numPr>
                <w:ilvl w:val="0"/>
                <w:numId w:val="0"/>
              </w:numPr>
              <w:jc w:val="center"/>
              <w:rPr>
                <w:highlight w:val="none"/>
              </w:rPr>
            </w:pPr>
            <w:r>
              <w:rPr>
                <w:rFonts w:hint="eastAsia"/>
                <w:highlight w:val="none"/>
              </w:rPr>
              <w:t>资源</w:t>
            </w:r>
          </w:p>
        </w:tc>
        <w:tc>
          <w:tcPr>
            <w:tcW w:w="1537" w:type="dxa"/>
            <w:vAlign w:val="center"/>
          </w:tcPr>
          <w:p>
            <w:pPr>
              <w:pStyle w:val="215"/>
              <w:numPr>
                <w:ilvl w:val="0"/>
                <w:numId w:val="0"/>
              </w:numPr>
              <w:jc w:val="center"/>
              <w:rPr>
                <w:rFonts w:hint="eastAsia"/>
                <w:highlight w:val="none"/>
              </w:rPr>
            </w:pPr>
            <w:r>
              <w:rPr>
                <w:rFonts w:hint="eastAsia"/>
                <w:highlight w:val="none"/>
              </w:rPr>
              <w:t>电池片</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玻璃</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EVA</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POE</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接线盒</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焊带</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边框</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包装箱</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水</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pStyle w:val="215"/>
              <w:numPr>
                <w:ilvl w:val="0"/>
                <w:numId w:val="0"/>
              </w:numPr>
              <w:jc w:val="center"/>
              <w:rPr>
                <w:highlight w:val="none"/>
              </w:rPr>
            </w:pPr>
            <w:r>
              <w:rPr>
                <w:rFonts w:hint="eastAsia"/>
                <w:highlight w:val="none"/>
              </w:rPr>
              <w:t>能源</w:t>
            </w:r>
          </w:p>
        </w:tc>
        <w:tc>
          <w:tcPr>
            <w:tcW w:w="1537" w:type="dxa"/>
            <w:vAlign w:val="center"/>
          </w:tcPr>
          <w:p>
            <w:pPr>
              <w:pStyle w:val="215"/>
              <w:numPr>
                <w:ilvl w:val="0"/>
                <w:numId w:val="0"/>
              </w:numPr>
              <w:jc w:val="center"/>
              <w:rPr>
                <w:highlight w:val="none"/>
              </w:rPr>
            </w:pPr>
            <w:r>
              <w:rPr>
                <w:rFonts w:hint="eastAsia"/>
                <w:highlight w:val="none"/>
              </w:rPr>
              <w:t>电</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vAlign w:val="center"/>
          </w:tcPr>
          <w:p>
            <w:pPr>
              <w:pStyle w:val="215"/>
              <w:numPr>
                <w:ilvl w:val="0"/>
                <w:numId w:val="0"/>
              </w:numPr>
              <w:jc w:val="center"/>
              <w:rPr>
                <w:highlight w:val="none"/>
              </w:rPr>
            </w:pPr>
            <w:r>
              <w:rPr>
                <w:rFonts w:hint="eastAsia"/>
                <w:highlight w:val="none"/>
              </w:rPr>
              <w:t>运输</w:t>
            </w:r>
          </w:p>
        </w:tc>
        <w:tc>
          <w:tcPr>
            <w:tcW w:w="1537" w:type="dxa"/>
            <w:vAlign w:val="center"/>
          </w:tcPr>
          <w:p>
            <w:pPr>
              <w:pStyle w:val="215"/>
              <w:numPr>
                <w:ilvl w:val="0"/>
                <w:numId w:val="0"/>
              </w:numPr>
              <w:jc w:val="center"/>
              <w:rPr>
                <w:highlight w:val="none"/>
              </w:rPr>
            </w:pPr>
            <w:r>
              <w:rPr>
                <w:rFonts w:hint="eastAsia"/>
                <w:highlight w:val="none"/>
              </w:rPr>
              <w:t>公路运输</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vAlign w:val="center"/>
          </w:tcPr>
          <w:p>
            <w:pPr>
              <w:pStyle w:val="215"/>
              <w:numPr>
                <w:ilvl w:val="0"/>
                <w:numId w:val="0"/>
              </w:numPr>
              <w:jc w:val="center"/>
              <w:rPr>
                <w:highlight w:val="none"/>
              </w:rPr>
            </w:pPr>
          </w:p>
        </w:tc>
        <w:tc>
          <w:tcPr>
            <w:tcW w:w="1537" w:type="dxa"/>
            <w:vAlign w:val="center"/>
          </w:tcPr>
          <w:p>
            <w:pPr>
              <w:pStyle w:val="215"/>
              <w:numPr>
                <w:ilvl w:val="0"/>
                <w:numId w:val="0"/>
              </w:numPr>
              <w:jc w:val="center"/>
              <w:rPr>
                <w:highlight w:val="none"/>
              </w:rPr>
            </w:pPr>
            <w:r>
              <w:rPr>
                <w:rFonts w:hint="eastAsia"/>
                <w:highlight w:val="none"/>
              </w:rPr>
              <w:t>铁路运输</w:t>
            </w:r>
          </w:p>
        </w:tc>
        <w:tc>
          <w:tcPr>
            <w:tcW w:w="1083" w:type="dxa"/>
            <w:vAlign w:val="center"/>
          </w:tcPr>
          <w:p>
            <w:pPr>
              <w:pStyle w:val="215"/>
              <w:numPr>
                <w:ilvl w:val="0"/>
                <w:numId w:val="0"/>
              </w:numPr>
              <w:jc w:val="center"/>
              <w:rPr>
                <w:highlight w:val="none"/>
              </w:rPr>
            </w:pPr>
          </w:p>
        </w:tc>
        <w:tc>
          <w:tcPr>
            <w:tcW w:w="1083" w:type="dxa"/>
            <w:vAlign w:val="center"/>
          </w:tcPr>
          <w:p>
            <w:pPr>
              <w:pStyle w:val="215"/>
              <w:numPr>
                <w:ilvl w:val="0"/>
                <w:numId w:val="0"/>
              </w:numPr>
              <w:jc w:val="center"/>
              <w:rPr>
                <w:highlight w:val="none"/>
              </w:rPr>
            </w:pPr>
          </w:p>
        </w:tc>
        <w:tc>
          <w:tcPr>
            <w:tcW w:w="1410"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7" w:type="dxa"/>
            <w:vAlign w:val="center"/>
          </w:tcPr>
          <w:p>
            <w:pPr>
              <w:pStyle w:val="215"/>
              <w:numPr>
                <w:ilvl w:val="0"/>
                <w:numId w:val="0"/>
              </w:numPr>
              <w:jc w:val="center"/>
              <w:rPr>
                <w:highlight w:val="none"/>
              </w:rPr>
            </w:pPr>
          </w:p>
        </w:tc>
        <w:tc>
          <w:tcPr>
            <w:tcW w:w="1248" w:type="dxa"/>
            <w:vAlign w:val="center"/>
          </w:tcPr>
          <w:p>
            <w:pPr>
              <w:pStyle w:val="215"/>
              <w:numPr>
                <w:ilvl w:val="0"/>
                <w:numId w:val="0"/>
              </w:numPr>
              <w:jc w:val="center"/>
              <w:rPr>
                <w:highlight w:val="none"/>
              </w:rPr>
            </w:pPr>
          </w:p>
        </w:tc>
      </w:tr>
      <w:bookmarkEnd w:id="63"/>
      <w:bookmarkEnd w:id="67"/>
      <w:bookmarkEnd w:id="68"/>
    </w:tbl>
    <w:p>
      <w:pPr>
        <w:pStyle w:val="59"/>
        <w:ind w:firstLine="0" w:firstLineChars="0"/>
        <w:jc w:val="center"/>
        <w:rPr>
          <w:rFonts w:hint="eastAsia"/>
          <w:highlight w:val="none"/>
        </w:rPr>
      </w:pPr>
      <w:bookmarkStart w:id="69" w:name="BookMark8"/>
    </w:p>
    <w:p>
      <w:pPr>
        <w:pStyle w:val="59"/>
        <w:ind w:firstLine="0" w:firstLineChars="0"/>
        <w:jc w:val="center"/>
        <w:rPr>
          <w:highlight w:val="none"/>
        </w:rPr>
      </w:pPr>
      <w:r>
        <w:rPr>
          <w:rFonts w:hint="eastAsia"/>
          <w:highlight w:val="none"/>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sectPr>
      <w:headerReference r:id="rId19" w:type="default"/>
      <w:footerReference r:id="rId21" w:type="default"/>
      <w:headerReference r:id="rId20" w:type="even"/>
      <w:footerReference r:id="rId22" w:type="even"/>
      <w:pgSz w:w="11906" w:h="16838"/>
      <w:pgMar w:top="2410"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FA34EC-ECCD-4F9F-BE24-C65CF77696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0000012" w:usb3="00000000" w:csb0="4002009F" w:csb1="DFD70000"/>
    <w:embedRegular r:id="rId2" w:fontKey="{8591CD87-8367-4D23-B882-A19C2A1D328D}"/>
  </w:font>
  <w:font w:name="华文中宋">
    <w:panose1 w:val="02010600040101010101"/>
    <w:charset w:val="86"/>
    <w:family w:val="auto"/>
    <w:pitch w:val="default"/>
    <w:sig w:usb0="00000287" w:usb1="080F0000" w:usb2="00000000" w:usb3="00000000" w:csb0="0004009F" w:csb1="DFD70000"/>
    <w:embedRegular r:id="rId3" w:fontKey="{C2280EFB-C5D2-451C-8538-5FFA0ACBEDF1}"/>
  </w:font>
  <w:font w:name="Tahoma">
    <w:panose1 w:val="020B0604030504040204"/>
    <w:charset w:val="00"/>
    <w:family w:val="swiss"/>
    <w:pitch w:val="default"/>
    <w:sig w:usb0="E1002EFF" w:usb1="C000605B" w:usb2="00000029" w:usb3="00000000" w:csb0="200101FF" w:csb1="20280000"/>
    <w:embedRegular r:id="rId4" w:fontKey="{C40C749C-4BB8-4318-98AF-C9956FCAD5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5"/>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54"/>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keepNext w:val="0"/>
      <w:keepLines w:val="0"/>
      <w:pageBreakBefore w:val="0"/>
      <w:widowControl/>
      <w:kinsoku/>
      <w:wordWrap/>
      <w:overflowPunct/>
      <w:topLinePunct w:val="0"/>
      <w:autoSpaceDE/>
      <w:autoSpaceDN/>
      <w:bidi w:val="0"/>
      <w:adjustRightInd/>
      <w:snapToGrid/>
      <w:ind w:right="227"/>
      <w:textAlignment w:val="auto"/>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keepNext w:val="0"/>
      <w:keepLines w:val="0"/>
      <w:pageBreakBefore w:val="0"/>
      <w:widowControl/>
      <w:kinsoku/>
      <w:wordWrap/>
      <w:overflowPunct/>
      <w:topLinePunct w:val="0"/>
      <w:autoSpaceDE/>
      <w:autoSpaceDN/>
      <w:bidi w:val="0"/>
      <w:adjustRightInd/>
      <w:snapToGrid/>
      <w:ind w:left="227"/>
      <w:textAlignment w:val="auto"/>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SJ/T XXXX—202X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SJ/T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jc w:val="right"/>
    </w:pPr>
    <w:r>
      <w:fldChar w:fldCharType="begin"/>
    </w:r>
    <w:r>
      <w:instrText xml:space="preserve"> STYLEREF  标准文件_文件编号 \* MERGEFORMAT </w:instrText>
    </w:r>
    <w:r>
      <w:fldChar w:fldCharType="separate"/>
    </w:r>
    <w:r>
      <w:t>SJ/T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spacing w:after="283"/>
    </w:pPr>
    <w:r>
      <w:fldChar w:fldCharType="begin"/>
    </w:r>
    <w:r>
      <w:instrText xml:space="preserve"> STYLEREF  标准文件_文件编号  \* MERGEFORMAT </w:instrText>
    </w:r>
    <w:r>
      <w:fldChar w:fldCharType="separate"/>
    </w:r>
    <w:r>
      <w:t>SJ/T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SJ/T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SJ/T XXXX—202X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spacing w:after="283"/>
    </w:pPr>
    <w:r>
      <w:fldChar w:fldCharType="begin"/>
    </w:r>
    <w:r>
      <w:instrText xml:space="preserve"> STYLEREF  标准文件_文件编号 \* MERGEFORMAT </w:instrText>
    </w:r>
    <w:r>
      <w:fldChar w:fldCharType="separate"/>
    </w:r>
    <w:r>
      <w:t>SJ/T XXXX—202X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SJ/T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TrueTypeFonts/>
  <w:saveSubsetFonts/>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NGIyMWYwMTcwM2U3OTBjMDdkNzVkZThhZWI1NWIifQ=="/>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6FB8"/>
    <w:rsid w:val="00087A77"/>
    <w:rsid w:val="00090CA6"/>
    <w:rsid w:val="00092B8A"/>
    <w:rsid w:val="00092FB0"/>
    <w:rsid w:val="000934C5"/>
    <w:rsid w:val="00093D25"/>
    <w:rsid w:val="00093DAB"/>
    <w:rsid w:val="00094D73"/>
    <w:rsid w:val="00096D63"/>
    <w:rsid w:val="000A0668"/>
    <w:rsid w:val="000A0B60"/>
    <w:rsid w:val="000A0EB8"/>
    <w:rsid w:val="000A19FC"/>
    <w:rsid w:val="000A296B"/>
    <w:rsid w:val="000A7311"/>
    <w:rsid w:val="000B060F"/>
    <w:rsid w:val="000B1592"/>
    <w:rsid w:val="000B1FF2"/>
    <w:rsid w:val="000B3CDA"/>
    <w:rsid w:val="000B4D8D"/>
    <w:rsid w:val="000B5772"/>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123C"/>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321C6"/>
    <w:rsid w:val="001325C4"/>
    <w:rsid w:val="00133010"/>
    <w:rsid w:val="001338EE"/>
    <w:rsid w:val="00133AAE"/>
    <w:rsid w:val="00135323"/>
    <w:rsid w:val="001356C4"/>
    <w:rsid w:val="001363B5"/>
    <w:rsid w:val="00137565"/>
    <w:rsid w:val="00141114"/>
    <w:rsid w:val="00142969"/>
    <w:rsid w:val="001446C2"/>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2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48ED"/>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72"/>
    <w:rsid w:val="00405884"/>
    <w:rsid w:val="004060C1"/>
    <w:rsid w:val="00407D39"/>
    <w:rsid w:val="0041477A"/>
    <w:rsid w:val="004167A3"/>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420"/>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2946"/>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7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3DC"/>
    <w:rsid w:val="00825138"/>
    <w:rsid w:val="008269DD"/>
    <w:rsid w:val="00830621"/>
    <w:rsid w:val="0083223D"/>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B1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3BA5"/>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897"/>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D60"/>
    <w:rsid w:val="00C13319"/>
    <w:rsid w:val="00C13EE9"/>
    <w:rsid w:val="00C21540"/>
    <w:rsid w:val="00C21906"/>
    <w:rsid w:val="00C21BFA"/>
    <w:rsid w:val="00C24C8D"/>
    <w:rsid w:val="00C25FE2"/>
    <w:rsid w:val="00C26B53"/>
    <w:rsid w:val="00C279B2"/>
    <w:rsid w:val="00C33E50"/>
    <w:rsid w:val="00C34C20"/>
    <w:rsid w:val="00C35A3E"/>
    <w:rsid w:val="00C376B4"/>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C45"/>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BFA"/>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0344"/>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40A"/>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566D5"/>
    <w:rsid w:val="024D4205"/>
    <w:rsid w:val="02FD0113"/>
    <w:rsid w:val="039270A7"/>
    <w:rsid w:val="03C2090E"/>
    <w:rsid w:val="03F37165"/>
    <w:rsid w:val="044C4021"/>
    <w:rsid w:val="04784610"/>
    <w:rsid w:val="05FB0D4F"/>
    <w:rsid w:val="07482466"/>
    <w:rsid w:val="09AE1F1D"/>
    <w:rsid w:val="09C24F60"/>
    <w:rsid w:val="0A0F6AFA"/>
    <w:rsid w:val="0A581DE5"/>
    <w:rsid w:val="0AD61C2B"/>
    <w:rsid w:val="0BFC4CE0"/>
    <w:rsid w:val="0C7C4DB8"/>
    <w:rsid w:val="0CA56562"/>
    <w:rsid w:val="0D430FC0"/>
    <w:rsid w:val="0F886852"/>
    <w:rsid w:val="11673F37"/>
    <w:rsid w:val="11A7084A"/>
    <w:rsid w:val="122B6E74"/>
    <w:rsid w:val="13963426"/>
    <w:rsid w:val="156E289A"/>
    <w:rsid w:val="16461CF8"/>
    <w:rsid w:val="18F50559"/>
    <w:rsid w:val="19011779"/>
    <w:rsid w:val="191F7FD1"/>
    <w:rsid w:val="19330E31"/>
    <w:rsid w:val="19984A83"/>
    <w:rsid w:val="19993C86"/>
    <w:rsid w:val="1C246142"/>
    <w:rsid w:val="1CA30282"/>
    <w:rsid w:val="1CF63F91"/>
    <w:rsid w:val="1E0B4354"/>
    <w:rsid w:val="1F706F0B"/>
    <w:rsid w:val="1FD75AF5"/>
    <w:rsid w:val="20506B91"/>
    <w:rsid w:val="2173325E"/>
    <w:rsid w:val="21A56596"/>
    <w:rsid w:val="223D2582"/>
    <w:rsid w:val="225D32FD"/>
    <w:rsid w:val="23D55D33"/>
    <w:rsid w:val="251D4DD3"/>
    <w:rsid w:val="25D461A4"/>
    <w:rsid w:val="27C73007"/>
    <w:rsid w:val="2DD81647"/>
    <w:rsid w:val="2E2B03D4"/>
    <w:rsid w:val="2E7524E1"/>
    <w:rsid w:val="2F1B2A5A"/>
    <w:rsid w:val="3097543A"/>
    <w:rsid w:val="3098584A"/>
    <w:rsid w:val="313256B9"/>
    <w:rsid w:val="326018F8"/>
    <w:rsid w:val="32F22276"/>
    <w:rsid w:val="349F11BD"/>
    <w:rsid w:val="3C234001"/>
    <w:rsid w:val="3D7F2C50"/>
    <w:rsid w:val="3E280999"/>
    <w:rsid w:val="3FA95BDE"/>
    <w:rsid w:val="40B87489"/>
    <w:rsid w:val="413C3725"/>
    <w:rsid w:val="42AF75DA"/>
    <w:rsid w:val="44632E3A"/>
    <w:rsid w:val="44FB3EB7"/>
    <w:rsid w:val="46880033"/>
    <w:rsid w:val="4A11708E"/>
    <w:rsid w:val="4C8A0961"/>
    <w:rsid w:val="4C953A4C"/>
    <w:rsid w:val="4D484101"/>
    <w:rsid w:val="4E183F18"/>
    <w:rsid w:val="4E1975A3"/>
    <w:rsid w:val="4EF57309"/>
    <w:rsid w:val="4F197194"/>
    <w:rsid w:val="4F9D5C60"/>
    <w:rsid w:val="50744CF3"/>
    <w:rsid w:val="50F0521B"/>
    <w:rsid w:val="53F21C51"/>
    <w:rsid w:val="544F7C33"/>
    <w:rsid w:val="54A62EAE"/>
    <w:rsid w:val="552B3FB6"/>
    <w:rsid w:val="562436D3"/>
    <w:rsid w:val="57601EDE"/>
    <w:rsid w:val="57792B50"/>
    <w:rsid w:val="59E361D5"/>
    <w:rsid w:val="5D1E63D2"/>
    <w:rsid w:val="5EDB7DE1"/>
    <w:rsid w:val="5F7A4EF6"/>
    <w:rsid w:val="5FC97768"/>
    <w:rsid w:val="5FE27A7F"/>
    <w:rsid w:val="611974AD"/>
    <w:rsid w:val="62430AC3"/>
    <w:rsid w:val="63AA1D81"/>
    <w:rsid w:val="63AB4645"/>
    <w:rsid w:val="64962AE4"/>
    <w:rsid w:val="653B1E3D"/>
    <w:rsid w:val="689C1A7B"/>
    <w:rsid w:val="68A67238"/>
    <w:rsid w:val="68A76436"/>
    <w:rsid w:val="69BC406C"/>
    <w:rsid w:val="6A8C4622"/>
    <w:rsid w:val="6BF16421"/>
    <w:rsid w:val="6C2A5CBF"/>
    <w:rsid w:val="6D287A99"/>
    <w:rsid w:val="6D420E87"/>
    <w:rsid w:val="6D805604"/>
    <w:rsid w:val="6DE95234"/>
    <w:rsid w:val="71650598"/>
    <w:rsid w:val="73F074AA"/>
    <w:rsid w:val="74F617E8"/>
    <w:rsid w:val="779A61B1"/>
    <w:rsid w:val="79AE04AF"/>
    <w:rsid w:val="7A9404FB"/>
    <w:rsid w:val="7AC03E79"/>
    <w:rsid w:val="7AD435B1"/>
    <w:rsid w:val="7B907630"/>
    <w:rsid w:val="7C190361"/>
    <w:rsid w:val="7E640D66"/>
    <w:rsid w:val="7E7F1366"/>
    <w:rsid w:val="7EB4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1"/>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2"/>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link w:val="239"/>
    <w:qFormat/>
    <w:uiPriority w:val="0"/>
    <w:pPr>
      <w:snapToGrid w:val="0"/>
      <w:ind w:firstLine="200" w:firstLineChars="200"/>
    </w:pPr>
    <w:rPr>
      <w:kern w:val="0"/>
    </w:rPr>
  </w:style>
  <w:style w:type="paragraph" w:customStyle="1" w:styleId="59">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link w:val="240"/>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12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段"/>
    <w:link w:val="234"/>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59"/>
    <w:qFormat/>
    <w:uiPriority w:val="0"/>
    <w:pPr>
      <w:outlineLvl w:val="4"/>
    </w:pPr>
  </w:style>
  <w:style w:type="paragraph" w:customStyle="1" w:styleId="134">
    <w:name w:val="附录四级无标题条"/>
    <w:basedOn w:val="133"/>
    <w:next w:val="59"/>
    <w:qFormat/>
    <w:uiPriority w:val="0"/>
    <w:pPr>
      <w:outlineLvl w:val="5"/>
    </w:pPr>
  </w:style>
  <w:style w:type="paragraph" w:customStyle="1" w:styleId="135">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59"/>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0"/>
    <w:next w:val="59"/>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59"/>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2"/>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59"/>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8"/>
    <w:qFormat/>
    <w:uiPriority w:val="0"/>
    <w:pPr>
      <w:spacing w:before="0" w:beforeLines="0" w:after="0" w:afterLines="0"/>
      <w:outlineLvl w:val="9"/>
    </w:pPr>
    <w:rPr>
      <w:rFonts w:ascii="宋体" w:eastAsia="宋体"/>
    </w:rPr>
  </w:style>
  <w:style w:type="paragraph" w:customStyle="1" w:styleId="167">
    <w:name w:val="标准文件_五级无标题"/>
    <w:basedOn w:val="106"/>
    <w:qFormat/>
    <w:uiPriority w:val="0"/>
    <w:pPr>
      <w:spacing w:before="0" w:beforeLines="0" w:after="0" w:afterLines="0"/>
      <w:outlineLvl w:val="9"/>
    </w:pPr>
    <w:rPr>
      <w:rFonts w:ascii="宋体" w:eastAsia="宋体"/>
    </w:rPr>
  </w:style>
  <w:style w:type="paragraph" w:customStyle="1" w:styleId="168">
    <w:name w:val="标准文件_三级无标题"/>
    <w:basedOn w:val="97"/>
    <w:qFormat/>
    <w:uiPriority w:val="0"/>
    <w:pPr>
      <w:spacing w:before="0" w:beforeLines="0" w:after="0" w:afterLines="0"/>
      <w:outlineLvl w:val="9"/>
    </w:pPr>
    <w:rPr>
      <w:rFonts w:ascii="宋体" w:eastAsia="宋体"/>
    </w:rPr>
  </w:style>
  <w:style w:type="paragraph" w:customStyle="1" w:styleId="169">
    <w:name w:val="标准文件_二级无标题"/>
    <w:basedOn w:val="68"/>
    <w:qFormat/>
    <w:uiPriority w:val="0"/>
    <w:pPr>
      <w:spacing w:before="0" w:beforeLines="0" w:after="0" w:afterLines="0"/>
      <w:outlineLvl w:val="9"/>
    </w:pPr>
    <w:rPr>
      <w:rFonts w:ascii="宋体" w:eastAsia="宋体"/>
    </w:rPr>
  </w:style>
  <w:style w:type="paragraph" w:customStyle="1" w:styleId="170">
    <w:name w:val="标准_四级无标题"/>
    <w:basedOn w:val="101"/>
    <w:next w:val="59"/>
    <w:qFormat/>
    <w:uiPriority w:val="0"/>
    <w:rPr>
      <w:rFonts w:eastAsia="宋体"/>
    </w:rPr>
  </w:style>
  <w:style w:type="paragraph" w:customStyle="1" w:styleId="171">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59"/>
    <w:qFormat/>
    <w:uiPriority w:val="0"/>
    <w:pPr>
      <w:numPr>
        <w:ilvl w:val="0"/>
        <w:numId w:val="24"/>
      </w:numPr>
      <w:ind w:firstLine="0" w:firstLineChars="0"/>
    </w:pPr>
    <w:rPr>
      <w:rFonts w:cs="Arial"/>
      <w:szCs w:val="28"/>
    </w:rPr>
  </w:style>
  <w:style w:type="paragraph" w:customStyle="1" w:styleId="174">
    <w:name w:val="标准文件_附录标题"/>
    <w:basedOn w:val="79"/>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59"/>
    <w:qFormat/>
    <w:uiPriority w:val="0"/>
    <w:pPr>
      <w:ind w:firstLine="0" w:firstLineChars="0"/>
      <w:jc w:val="center"/>
    </w:pPr>
    <w:rPr>
      <w:sz w:val="18"/>
    </w:rPr>
  </w:style>
  <w:style w:type="paragraph" w:customStyle="1" w:styleId="183">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link w:val="236"/>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59"/>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59"/>
    <w:qFormat/>
    <w:uiPriority w:val="0"/>
    <w:rPr>
      <w:rFonts w:ascii="宋体" w:hAnsi="Times New Roman"/>
      <w:sz w:val="21"/>
    </w:rPr>
  </w:style>
  <w:style w:type="paragraph" w:customStyle="1" w:styleId="189">
    <w:name w:val="标准文件_表格续"/>
    <w:basedOn w:val="59"/>
    <w:next w:val="59"/>
    <w:qFormat/>
    <w:uiPriority w:val="0"/>
    <w:pPr>
      <w:jc w:val="center"/>
    </w:pPr>
    <w:rPr>
      <w:rFonts w:ascii="黑体" w:hAnsi="黑体" w:eastAsia="黑体"/>
    </w:rPr>
  </w:style>
  <w:style w:type="character" w:styleId="190">
    <w:name w:val="Placeholder Text"/>
    <w:basedOn w:val="30"/>
    <w:semiHidden/>
    <w:qFormat/>
    <w:uiPriority w:val="99"/>
    <w:rPr>
      <w:color w:val="808080"/>
    </w:rPr>
  </w:style>
  <w:style w:type="paragraph" w:customStyle="1" w:styleId="191">
    <w:name w:val="标准文件_二级项2"/>
    <w:basedOn w:val="59"/>
    <w:qFormat/>
    <w:uiPriority w:val="0"/>
    <w:pPr>
      <w:numPr>
        <w:ilvl w:val="1"/>
        <w:numId w:val="21"/>
      </w:numPr>
      <w:ind w:firstLine="0" w:firstLineChars="0"/>
    </w:pPr>
  </w:style>
  <w:style w:type="paragraph" w:customStyle="1" w:styleId="192">
    <w:name w:val="标准文件_三级项2"/>
    <w:basedOn w:val="59"/>
    <w:qFormat/>
    <w:uiPriority w:val="0"/>
    <w:pPr>
      <w:numPr>
        <w:ilvl w:val="0"/>
        <w:numId w:val="30"/>
      </w:numPr>
      <w:spacing w:line="300" w:lineRule="exact"/>
      <w:ind w:firstLineChars="0"/>
    </w:pPr>
    <w:rPr>
      <w:rFonts w:ascii="Times New Roman"/>
    </w:rPr>
  </w:style>
  <w:style w:type="paragraph" w:customStyle="1" w:styleId="193">
    <w:name w:val="标准文件_一级项2"/>
    <w:basedOn w:val="59"/>
    <w:qFormat/>
    <w:uiPriority w:val="0"/>
    <w:pPr>
      <w:numPr>
        <w:ilvl w:val="0"/>
        <w:numId w:val="31"/>
      </w:numPr>
      <w:spacing w:line="300" w:lineRule="exact"/>
      <w:ind w:firstLineChars="0"/>
    </w:pPr>
    <w:rPr>
      <w:rFonts w:ascii="Times New Roman"/>
    </w:rPr>
  </w:style>
  <w:style w:type="paragraph" w:customStyle="1" w:styleId="194">
    <w:name w:val="标准文件_提示"/>
    <w:basedOn w:val="59"/>
    <w:next w:val="59"/>
    <w:qFormat/>
    <w:uiPriority w:val="0"/>
    <w:pPr>
      <w:ind w:firstLine="420"/>
    </w:pPr>
    <w:rPr>
      <w:rFonts w:ascii="黑体" w:eastAsia="黑体"/>
    </w:rPr>
  </w:style>
  <w:style w:type="character" w:customStyle="1" w:styleId="195">
    <w:name w:val="标准文件_来源"/>
    <w:basedOn w:val="30"/>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framePr w:wrap="around"/>
      <w:spacing w:before="57"/>
    </w:pPr>
    <w:rPr>
      <w:sz w:val="21"/>
    </w:rPr>
  </w:style>
  <w:style w:type="paragraph" w:customStyle="1" w:styleId="201">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59"/>
    <w:link w:val="238"/>
    <w:qFormat/>
    <w:uiPriority w:val="0"/>
    <w:pPr>
      <w:ind w:left="811" w:firstLine="0" w:firstLineChars="0"/>
    </w:pPr>
    <w:rPr>
      <w:sz w:val="18"/>
    </w:rPr>
  </w:style>
  <w:style w:type="paragraph" w:customStyle="1" w:styleId="210">
    <w:name w:val="标准文件_注X后"/>
    <w:basedOn w:val="59"/>
    <w:link w:val="237"/>
    <w:qFormat/>
    <w:uiPriority w:val="0"/>
    <w:pPr>
      <w:ind w:left="811" w:firstLine="0" w:firstLineChars="0"/>
    </w:pPr>
    <w:rPr>
      <w:sz w:val="18"/>
    </w:rPr>
  </w:style>
  <w:style w:type="paragraph" w:customStyle="1" w:styleId="211">
    <w:name w:val="标准文件_示例后"/>
    <w:basedOn w:val="59"/>
    <w:qFormat/>
    <w:uiPriority w:val="0"/>
    <w:pPr>
      <w:ind w:left="964" w:firstLine="0" w:firstLineChars="0"/>
    </w:pPr>
    <w:rPr>
      <w:sz w:val="18"/>
    </w:rPr>
  </w:style>
  <w:style w:type="paragraph" w:customStyle="1" w:styleId="212">
    <w:name w:val="标准文件_示例X后"/>
    <w:basedOn w:val="59"/>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59"/>
    <w:next w:val="59"/>
    <w:qFormat/>
    <w:uiPriority w:val="0"/>
    <w:pPr>
      <w:tabs>
        <w:tab w:val="right" w:leader="dot" w:pos="9356"/>
      </w:tabs>
      <w:ind w:left="210" w:hanging="210" w:firstLineChars="0"/>
      <w:jc w:val="left"/>
    </w:pPr>
  </w:style>
  <w:style w:type="paragraph" w:customStyle="1" w:styleId="215">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59"/>
    <w:qFormat/>
    <w:uiPriority w:val="0"/>
    <w:pPr>
      <w:spacing w:before="0" w:beforeLines="0" w:after="0" w:afterLines="0" w:line="276" w:lineRule="auto"/>
    </w:pPr>
    <w:rPr>
      <w:rFonts w:ascii="宋体" w:eastAsia="宋体"/>
    </w:rPr>
  </w:style>
  <w:style w:type="paragraph" w:customStyle="1" w:styleId="225">
    <w:name w:val="标准文件_索引标题"/>
    <w:basedOn w:val="66"/>
    <w:next w:val="59"/>
    <w:qFormat/>
    <w:uiPriority w:val="0"/>
    <w:rPr>
      <w:rFonts w:hAnsi="黑体"/>
    </w:rPr>
  </w:style>
  <w:style w:type="paragraph" w:customStyle="1" w:styleId="226">
    <w:name w:val="标准文件_脚注内容"/>
    <w:basedOn w:val="59"/>
    <w:qFormat/>
    <w:uiPriority w:val="0"/>
    <w:pPr>
      <w:ind w:left="400" w:leftChars="200" w:hanging="200" w:hangingChars="200"/>
    </w:pPr>
    <w:rPr>
      <w:sz w:val="15"/>
    </w:rPr>
  </w:style>
  <w:style w:type="paragraph" w:customStyle="1" w:styleId="227">
    <w:name w:val="标准文件_术语条一"/>
    <w:basedOn w:val="166"/>
    <w:next w:val="59"/>
    <w:qFormat/>
    <w:uiPriority w:val="0"/>
  </w:style>
  <w:style w:type="paragraph" w:customStyle="1" w:styleId="228">
    <w:name w:val="标准文件_术语条二"/>
    <w:basedOn w:val="169"/>
    <w:next w:val="59"/>
    <w:qFormat/>
    <w:uiPriority w:val="0"/>
  </w:style>
  <w:style w:type="paragraph" w:customStyle="1" w:styleId="229">
    <w:name w:val="标准文件_术语条三"/>
    <w:basedOn w:val="168"/>
    <w:next w:val="59"/>
    <w:qFormat/>
    <w:uiPriority w:val="0"/>
  </w:style>
  <w:style w:type="paragraph" w:customStyle="1" w:styleId="230">
    <w:name w:val="标准文件_术语条四"/>
    <w:basedOn w:val="171"/>
    <w:next w:val="59"/>
    <w:qFormat/>
    <w:uiPriority w:val="0"/>
  </w:style>
  <w:style w:type="paragraph" w:customStyle="1" w:styleId="231">
    <w:name w:val="标准文件_术语条五"/>
    <w:basedOn w:val="167"/>
    <w:next w:val="59"/>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0"/>
    <w:qFormat/>
    <w:uiPriority w:val="0"/>
    <w:rPr>
      <w:rFonts w:ascii="黑体" w:eastAsia="黑体"/>
      <w:spacing w:val="85"/>
      <w:w w:val="100"/>
      <w:position w:val="3"/>
      <w:sz w:val="28"/>
      <w:szCs w:val="28"/>
    </w:rPr>
  </w:style>
  <w:style w:type="character" w:customStyle="1" w:styleId="234">
    <w:name w:val="段 Char"/>
    <w:link w:val="123"/>
    <w:qFormat/>
    <w:uiPriority w:val="0"/>
    <w:rPr>
      <w:rFonts w:ascii="宋体"/>
      <w:sz w:val="21"/>
    </w:rPr>
  </w:style>
  <w:style w:type="paragraph" w:customStyle="1" w:styleId="235">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6">
    <w:name w:val="标准文件_注×： Char"/>
    <w:link w:val="184"/>
    <w:qFormat/>
    <w:uiPriority w:val="0"/>
    <w:rPr>
      <w:rFonts w:ascii="宋体" w:hAnsi="Times New Roman" w:eastAsia="宋体" w:cs="Times New Roman"/>
      <w:sz w:val="18"/>
      <w:szCs w:val="18"/>
      <w:lang w:val="en-US" w:eastAsia="zh-CN" w:bidi="ar-SA"/>
    </w:rPr>
  </w:style>
  <w:style w:type="character" w:customStyle="1" w:styleId="237">
    <w:name w:val="标准文件_注X后 Char"/>
    <w:link w:val="210"/>
    <w:qFormat/>
    <w:uiPriority w:val="0"/>
    <w:rPr>
      <w:sz w:val="18"/>
    </w:rPr>
  </w:style>
  <w:style w:type="character" w:customStyle="1" w:styleId="238">
    <w:name w:val="标准文件_注后 Char"/>
    <w:link w:val="209"/>
    <w:qFormat/>
    <w:uiPriority w:val="0"/>
    <w:rPr>
      <w:sz w:val="18"/>
    </w:rPr>
  </w:style>
  <w:style w:type="character" w:customStyle="1" w:styleId="239">
    <w:name w:val="标准文件_标准正文 Char"/>
    <w:link w:val="58"/>
    <w:qFormat/>
    <w:uiPriority w:val="0"/>
    <w:rPr>
      <w:kern w:val="0"/>
    </w:rPr>
  </w:style>
  <w:style w:type="character" w:customStyle="1" w:styleId="240">
    <w:name w:val="标准文件_公式后的破折号 Char"/>
    <w:link w:val="91"/>
    <w:qFormat/>
    <w:uiPriority w:val="0"/>
  </w:style>
  <w:style w:type="character" w:customStyle="1" w:styleId="241">
    <w:name w:val="批注文字 字符"/>
    <w:basedOn w:val="30"/>
    <w:link w:val="13"/>
    <w:semiHidden/>
    <w:qFormat/>
    <w:uiPriority w:val="99"/>
    <w:rPr>
      <w:rFonts w:ascii="Calibri" w:hAnsi="Calibri"/>
      <w:kern w:val="2"/>
      <w:sz w:val="21"/>
      <w:szCs w:val="21"/>
    </w:rPr>
  </w:style>
  <w:style w:type="character" w:customStyle="1" w:styleId="242">
    <w:name w:val="批注主题 字符"/>
    <w:basedOn w:val="241"/>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3.jpeg"/><Relationship Id="rId26" Type="http://schemas.openxmlformats.org/officeDocument/2006/relationships/image" Target="media/image2.wmf"/><Relationship Id="rId25" Type="http://schemas.openxmlformats.org/officeDocument/2006/relationships/oleObject" Target="embeddings/oleObject1.bin"/><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7C"/>
    <w:rsid w:val="00221738"/>
    <w:rsid w:val="002C48B2"/>
    <w:rsid w:val="00386C30"/>
    <w:rsid w:val="005E5A7C"/>
    <w:rsid w:val="00622B47"/>
    <w:rsid w:val="0072672B"/>
    <w:rsid w:val="00774AF5"/>
    <w:rsid w:val="00774EDF"/>
    <w:rsid w:val="00790BAA"/>
    <w:rsid w:val="00A01A8C"/>
    <w:rsid w:val="00B73A79"/>
    <w:rsid w:val="00C42950"/>
    <w:rsid w:val="00DC10A8"/>
    <w:rsid w:val="00DE6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4E75F-9795-4FBB-BF97-BE44686EDA1F}">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14</Pages>
  <Words>3923</Words>
  <Characters>4894</Characters>
  <Lines>48</Lines>
  <Paragraphs>13</Paragraphs>
  <TotalTime>0</TotalTime>
  <ScaleCrop>false</ScaleCrop>
  <LinksUpToDate>false</LinksUpToDate>
  <CharactersWithSpaces>5149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2021-08-05T00:34:00Z</dcterms:created>
  <dc:creator>40545</dc:creator>
  <dc:description>&lt;config cover="true" show_menu="true" version="1.0.0" doctype="SDKXY"&gt;_x000d_
&lt;/config&gt;</dc:description>
  <cp:lastModifiedBy>cesirohs</cp:lastModifiedBy>
  <cp:lastPrinted>2021-02-02T08:22:00Z</cp:lastPrinted>
  <dcterms:modified xsi:type="dcterms:W3CDTF">2022-09-07T09:42:31Z</dcterms:modified>
  <dc:title>团体标准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2052-11.8.2.8959</vt:lpwstr>
  </property>
  <property fmtid="{D5CDD505-2E9C-101B-9397-08002B2CF9AE}" pid="16" name="ICV">
    <vt:lpwstr>6F6DE940D4ED43C8A8AE508D88764A0C</vt:lpwstr>
  </property>
</Properties>
</file>